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新冠肺炎对企业收入种族不平等的影响</w:t>
      </w:r>
    </w:p>
    <w:p>
      <w:pPr>
        <w:pStyle w:val="cn"/>
        <w:jc w:val="center"/>
      </w:pPr>
      <w:r>
        <w:t>作者:Robert W. Fairlie</w:t>
      </w:r>
    </w:p>
    <w:p>
      <w:pPr>
        <w:pStyle w:val="cn"/>
        <w:ind w:firstLine="420"/>
        <w:jc w:val="left"/>
      </w:pPr>
      <w:r>
        <w:t>由于新冠肺炎对健康和经济造成的破坏，许多小企业关闭、损失收入或缩小规模。但是，有色人种拥有的企业在疫情中遭受的经济损失是否不成比例？本文首次研究了新冠肺炎对企业收入种族不平等的影响。2020年，所有企业主因疫情导致的企业收益损失为16-19%。种族不平等在大流行中加剧：与白人企业主相比，黑人企业主对企业收入的负面影响更大，为12-14%。拉丁裔和亚裔企业主的回归估计揭示了负点估计，但这些估计在统计上并不显著。使用Blinder Oaxaca分解和一种新的以大流行为重点的分解技术，我发现黑人、拉丁裔和亚裔企业主的行业集中度使这些群体在大流行中遭受不成比例的商业收入损失的风险更高。亚洲企业主的高等教育水平有助于使他们免受新冠肺炎带来的更大损失。最后，对COVID病例率的不同接触、企业关闭政策和口罩授权并没有导致企业收入损失中的种族不平等。</w:t>
      </w:r>
    </w:p>
    <w:p/>
    <w:p>
      <w:pPr>
        <w:pStyle w:val="cn"/>
        <w:jc w:val="left"/>
      </w:pPr>
      <w:r>
        <w:rPr>
          <w:b/>
        </w:rPr>
        <w:t>原文链接:</w:t>
        <w:br/>
      </w:r>
      <w:hyperlink r:id="rId9">
        <w:r>
          <w:rPr>
            <w:color w:val="0000FF"/>
            <w:u w:val="single"/>
          </w:rPr>
          <w:t>https://www.nber.org/papers/w30532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