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新冠肺炎疫苗的事前道德风险效应</w:t>
      </w:r>
    </w:p>
    <w:p>
      <w:pPr>
        <w:pStyle w:val="cn"/>
        <w:jc w:val="center"/>
      </w:pPr>
      <w:r>
        <w:t>作者:Virat Agrawal, Neeraj Sood, Christopher M. Whaley</w:t>
      </w:r>
    </w:p>
    <w:p>
      <w:pPr>
        <w:pStyle w:val="cn"/>
        <w:ind w:firstLine="420"/>
        <w:jc w:val="left"/>
      </w:pPr>
      <w:r>
        <w:t>一个长期存在的经济问题是，针对保险或其他减少伤害干预措施的伤害的保护如何导致潜在的抵消行为变化（事前道德风险）。免疫接种是一种保险，因为个人在接种疫苗时会承担前期费用，但如果他们暴露在疫苗可预防的疾病中，它可以保护个人。在本研究中，我们实证评估了新冠肺炎疫苗的事前道德风险效应。首先，利用65岁时由于老年人的早期资格而导致的疫苗接种率的不连续性，我们比较了65岁以上和65岁以下人群的疫苗接种和风险缓解行为。我们没有发现65岁及以上人群风险缓解行为减少的证据。第二，利用不同年龄组人群有资格接种疫苗的时间上的州一级差异，我们估计新冠肺炎疫苗接种对成年人群的风险缓解行为没有影响。我们的研究结果表明，短期内新冠肺炎疫苗的道德风险影响最小。</w:t>
      </w:r>
    </w:p>
    <w:p/>
    <w:p>
      <w:pPr>
        <w:pStyle w:val="cn"/>
        <w:jc w:val="left"/>
      </w:pPr>
      <w:r>
        <w:rPr>
          <w:b/>
        </w:rPr>
        <w:t>原文链接:</w:t>
        <w:br/>
      </w:r>
      <w:hyperlink r:id="rId9">
        <w:r>
          <w:rPr>
            <w:color w:val="0000FF"/>
            <w:u w:val="single"/>
          </w:rPr>
          <w:t>https://www.nber.org/papers/w30602</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6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