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无序处理理论的工具变量和研究领域回报的证据</w:t>
      </w:r>
    </w:p>
    <w:p>
      <w:pPr>
        <w:pStyle w:val="cn"/>
        <w:jc w:val="center"/>
      </w:pPr>
      <w:r>
        <w:t>作者:Eskil Heinesen, Christian Hvid, Lars Johannessen Kirkebøen, Edwin Leuven, Magne Mogstad</w:t>
      </w:r>
    </w:p>
    <w:p>
      <w:pPr>
        <w:pStyle w:val="cn"/>
        <w:ind w:firstLine="420"/>
        <w:jc w:val="left"/>
      </w:pPr>
      <w:r>
        <w:t>我们重新审视了Kirkeboen等人的鉴定论点。（2016），他们展示了如何将多种无序治疗的仪器与个人对这些治疗的排名信息相结合，以实现鉴定，同时考虑到治疗效果的观察和未观察到的异质性。我们表明，他们的身份论证背后的关键假设具有可检验的含义。我们还提供了如果违反这些假设可能出现的偏差的新特征。总之，这些结果不仅使研究人员能够检验潜在的假设，而且还可以论证违反这些假设的偏差是否可能具有经济意义。在这些结果的指导和激励下，我们估计并比较了挪威和丹麦中学后学习领域的收益回报。在每个国家，我们都将Kirkeboen等人（2016）的识别论点应用于个人对研究领域和特定领域仪器的排名数据，这些数据来自录取系统中的不连续性。我们经验性地考察了两国在研究领域的回报是否以及为什么不同。我们发现，研究领域的收益具有很强的跨国家相关性，特别是在移除了违反识别论点基础假设的领域之后。</w:t>
      </w:r>
    </w:p>
    <w:p/>
    <w:p>
      <w:pPr>
        <w:pStyle w:val="cn"/>
        <w:jc w:val="left"/>
      </w:pPr>
      <w:r>
        <w:rPr>
          <w:b/>
        </w:rPr>
        <w:t>原文链接:</w:t>
        <w:br/>
      </w:r>
      <w:hyperlink r:id="rId9">
        <w:r>
          <w:rPr>
            <w:color w:val="0000FF"/>
            <w:u w:val="single"/>
          </w:rPr>
          <w:t>https://www.nber.org/papers/w30574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