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机场起飞证据对基础设施私有化的影响</w:t>
      </w:r>
    </w:p>
    <w:p>
      <w:pPr>
        <w:pStyle w:val="cn"/>
        <w:jc w:val="center"/>
      </w:pPr>
      <w:r>
        <w:t>作者:Sabrina T. Howell, Yeejin Jang, Hyeik Kim, Michael S. Weisbach</w:t>
      </w:r>
    </w:p>
    <w:p>
      <w:pPr>
        <w:pStyle w:val="cn"/>
        <w:ind w:firstLine="420"/>
        <w:jc w:val="left"/>
      </w:pPr>
      <w:r>
        <w:t>近几十年来，基础设施资产经历了大规模私有化。不同类型的所有者如何瞄准和管理这些资产？合同形式的控制权（特许权）与完全所有权（出售）有关系吗？我们在全球机场的背景下探讨这些问题，这些机场和其他基础设施资产一样，已经被私人公司和私人股本（PE）基金私有化。我们的中心发现是，私人股本收购带来了机场绩效的显著改善，包括航班乘客数、总乘客数、航线数量、航空公司数量、取消和奖励。PE收购后净收入增加，这并不反映成本降低或裁员。相比之下，在少数非私募股权收购带来一些改善的情况下，这似乎反映了目标而非运营变化。总的来说，我们发现很少有证据表明私有化单独提高了机场的性能；相反，基础设施基金改善了私有化和随后从非私人股本公司收购的业绩。当附近有竞争机场时，这些影响最大。最后，我们表明，私有化后的最大改善与直接所有权而非控制权有关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https://www.nber.org/papers/w30544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