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来自印度的新冠肺炎学习损失和恢复专家组数据证据</w:t>
      </w:r>
    </w:p>
    <w:p>
      <w:pPr>
        <w:pStyle w:val="cn"/>
        <w:jc w:val="center"/>
      </w:pPr>
      <w:r>
        <w:t>作者:Abhijeet Singh, Mauricio Romero, Karthik Muralidharan</w:t>
      </w:r>
    </w:p>
    <w:p>
      <w:pPr>
        <w:pStyle w:val="cn"/>
        <w:ind w:firstLine="420"/>
        <w:jc w:val="left"/>
      </w:pPr>
      <w:r>
        <w:t>我们对泰米尔纳德邦农村约19000名小学学龄儿童进行了小组调查，以研究新冠肺炎导致学校关闭后的“学习损失”，以及学校重新开放后的恢复速度。2021 12月（学校停课18个月后）进行的测试显示，与2019年同一村庄同龄学生相比，学生在数学和语言方面的学习缺陷分别约为0.7σ标准差和0.34σ标准差。其中三分之二的缺陷是在学校重新开学后6个月内弥补的。此外，虽然学习损失是递减的，但恢复是渐进的。政府运营的课后补救计划约占队列水平恢复的24%，并可能有助于逐步恢复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https://www.nber.org/papers/w30552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