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独角兽之谜</w:t>
      </w:r>
    </w:p>
    <w:p>
      <w:pPr>
        <w:pStyle w:val="cn"/>
        <w:jc w:val="center"/>
      </w:pPr>
      <w:r>
        <w:t>作者:Daria Davydova, Rüdiger Fahlenbrach, Leandro Sanz, René M. Stulz</w:t>
      </w:r>
    </w:p>
    <w:p>
      <w:pPr>
        <w:pStyle w:val="cn"/>
        <w:ind w:firstLine="420"/>
        <w:jc w:val="left"/>
      </w:pPr>
      <w:r>
        <w:t>从2010年到2021，639家美国风险投资公司获得了独角兽地位。我们调查了为什么有这么多独角兽，以及为什么控股股东给予投资者获得独角兽地位的特权。我们发现，独角兽比其他风险投资公司更依赖组织资本、网络效应和互联网。独角兽地位使初创企业能够获得新的资金来源。有了这些资本，他们可以更多地投资于组织无形资产，而征收风险要比公共资产小。因此，他们更有可能抓住使其商业模式有价值的规模经济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