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电力上限和完全电气化的成本</w:t>
      </w:r>
    </w:p>
    <w:p>
      <w:pPr>
        <w:pStyle w:val="cn"/>
        <w:jc w:val="center"/>
      </w:pPr>
      <w:r>
        <w:t>作者:David S. Rapson, James B. Bushnell</w:t>
      </w:r>
    </w:p>
    <w:p>
      <w:pPr>
        <w:pStyle w:val="cn"/>
        <w:ind w:firstLine="420"/>
        <w:jc w:val="left"/>
      </w:pPr>
      <w:r>
        <w:t>电气化是全球脱碳努力的核心。然而，有理由怀疑过渡的必然性，或者至少是最佳速度。我们讨论了全面电气化甚至深度电气化的几个低估成本。消费者偏好可以支持或反对电气化目标；当电气化达到某种未知水平时，可能会遇到物理和经济障碍。尽管我们欣然承认脱碳的外部好处，但我们也探讨了一些低估的外部成本。通过预见并理想地避免有希望的减排途径的可预测但不明显的成本，可以增强脱碳努力的可信度和最终成功。因此，即使有了所有的承诺，电气化程度最终也可能达到极限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https://www.nber.org/papers/w30593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