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疫情期间的经济影响支付和家庭支出</w:t>
      </w:r>
    </w:p>
    <w:p>
      <w:pPr>
        <w:pStyle w:val="cn"/>
        <w:jc w:val="center"/>
      </w:pPr>
      <w:r>
        <w:t>作者:Jonathan A. Parker, Jake Schild, Laura Erhard, David Johnson</w:t>
      </w:r>
    </w:p>
    <w:p>
      <w:pPr>
        <w:pStyle w:val="cn"/>
        <w:ind w:firstLine="420"/>
        <w:jc w:val="left"/>
      </w:pPr>
      <w:r>
        <w:t>家庭在抵达后的几个月内仅支出了2020年经济影响付款（EIP）的一小部分，这与i）大流行对支出的限制，ii）其他大流行计划和社会保险，以及iii）与大流行早期的经济损失相比，EIP的支付范围更广。虽然这些EIP并不能满足大多数家庭的紧急经济需求，但第一轮EIP确实为一些更容易遭受疫情经济损失的家庭提供了及时的大流行保险。进入大流行的流动性财富较低的家庭和那些在家工作时收入较低的人，在收到EIP后，各自提高了消费。虽然我们对后期EIP的测量并不可靠，但我们的估计表明，第二轮和第三轮EIP的平均支出甚至更少。我们的点估计意味着，与2001年或2008年的经济刺激付款相比，平均而言，短期支出更少。虽然我们的分析缺乏衡量长期支出影响的能力，但随着大流行对家庭的直接经济影响减弱，短期支出的缺乏促成了强劲的家庭资产负债表。</w:t>
      </w:r>
    </w:p>
    <w:p/>
    <w:p>
      <w:pPr>
        <w:pStyle w:val="cn"/>
        <w:jc w:val="left"/>
      </w:pPr>
      <w:r>
        <w:rPr>
          <w:b/>
        </w:rPr>
        <w:t>原文链接:</w:t>
        <w:br/>
      </w:r>
      <w:hyperlink r:id="rId9">
        <w:r>
          <w:rPr>
            <w:color w:val="0000FF"/>
            <w:u w:val="single"/>
          </w:rPr>
          <w:t>https://www.nber.org/papers/w30596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