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碳排放交易与环境保护国际证据</w:t>
      </w:r>
    </w:p>
    <w:p>
      <w:pPr>
        <w:pStyle w:val="cn"/>
        <w:jc w:val="center"/>
      </w:pPr>
      <w:r>
        <w:t>作者:Jennie Bai, Hong Ru</w:t>
      </w:r>
    </w:p>
    <w:p>
      <w:pPr>
        <w:pStyle w:val="cn"/>
        <w:ind w:firstLine="420"/>
        <w:jc w:val="left"/>
      </w:pPr>
      <w:r>
        <w:t>我们使用全球最大的100个国家的面板样本，研究排放交易系统（ETS）的实施如何影响减排和可再生能源的使用。利用ETS实施中的跨国差异，我们表明ETS的采用大大减少了12.1%（18.1%）的温室气体（二氧化碳）排放。此外，ETS通过将煤炭等化石燃料的使用量减少23.70%，同时将可再生能源的使用量平均提高61.59%，从而减少了总排放量。相比之下，碳税的引入对减排的影响较小，也未能促进可再生能源的使用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https://www.nber.org/papers/w30587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