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社会经济状况和获得心理保健的机会——加拿大安大略省儿童精神病药物案例</w:t>
      </w:r>
    </w:p>
    <w:p>
      <w:pPr>
        <w:pStyle w:val="cn"/>
        <w:jc w:val="center"/>
      </w:pPr>
      <w:r>
        <w:t>作者:Janet Currie, Paul Kurdyak, Jonathan Zhang</w:t>
      </w:r>
    </w:p>
    <w:p>
      <w:pPr>
        <w:pStyle w:val="cn"/>
        <w:ind w:firstLine="420"/>
        <w:jc w:val="left"/>
      </w:pPr>
      <w:r>
        <w:t>我们研究了加拿大安大略省低收入和高收入儿童在精神病药物处方方面的差异。该分析利用了普及公共药物覆盖率的扩大，以及获取途径的收缩，再加上包括医生识别信息的丰富管理数据。我们最引人注目的发现是，根据诊断和病史，低收入儿童比看同样医生的高收入儿童更容易被开抗精神病药和苯二氮卓类药物。这些药物具有潜在的危险副作用，只能在严格禁止的情况下给儿童开药。低收入儿童也不太可能服用SSRIs，这是抑郁症和焦虑症的一线治疗方法。因此，儿童普遍用药并没有消除低收入儿童和高收入儿童之间处方做法的差异，这表明解决这些差异需要额外的干预措施，包括改变个体提供者的处方行为。</w:t>
      </w:r>
    </w:p>
    <w:p/>
    <w:p>
      <w:pPr>
        <w:pStyle w:val="cn"/>
        <w:jc w:val="left"/>
      </w:pPr>
      <w:r>
        <w:rPr>
          <w:b/>
        </w:rPr>
        <w:t>原文链接:</w:t>
        <w:br/>
      </w:r>
      <w:hyperlink r:id="rId9">
        <w:r>
          <w:rPr>
            <w:color w:val="0000FF"/>
            <w:u w:val="single"/>
          </w:rPr>
          <w:t>https://www.nber.org/papers/w30595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