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结构变化与增长的南北模型</w:t>
      </w:r>
    </w:p>
    <w:p>
      <w:pPr>
        <w:pStyle w:val="cn"/>
        <w:jc w:val="center"/>
      </w:pPr>
      <w:r>
        <w:t>作者:Maria Aristizabal-Ramirez, John V. Leahy, Linda Tesar</w:t>
      </w:r>
    </w:p>
    <w:p>
      <w:pPr>
        <w:pStyle w:val="cn"/>
        <w:ind w:firstLine="420"/>
        <w:jc w:val="left"/>
      </w:pPr>
      <w:r>
        <w:t>本文的动机是对大量样本国家的增长、结构转型和投资率的一系列跨国观察。我们观察到一个国家的投资率与其发展水平之间的驼峰关系，无论是在国家内部还是在国家之间。相对于新兴市场，发达经济体在较高的收入水平和更早的时间点达到投资峰值。我们还观察到熟悉的结构变化模式（相对于制造业而言，农业份额下降，服务份额增加）。从1930年到1980年，发达经济体的变化速度与1960年以来新兴市场的变化速度非常相似。我们建立了一个世界经济的双区域模型，在该模型中，各区域相互隔离，直至1990年代初资本市场自由化。到那时，资本从发达经济体流向新兴市场，并加速了新兴市场的结构性变革进程。金融自由化的大部分收益来自新兴经济体。我们考虑当中国向资本流入全面开放经济时，“第二波”自由化的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https://www.nber.org/papers/w30584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