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缺失的中层管理人员劳动力成本、企业结构与发展</w:t>
      </w:r>
    </w:p>
    <w:p>
      <w:pPr>
        <w:pStyle w:val="cn"/>
        <w:jc w:val="center"/>
      </w:pPr>
      <w:r>
        <w:t>作者:Jonas Hjort, Hannes Malmberg, Todd Schoellman</w:t>
      </w:r>
    </w:p>
    <w:p>
      <w:pPr>
        <w:pStyle w:val="cn"/>
        <w:ind w:firstLine="420"/>
        <w:jc w:val="left"/>
      </w:pPr>
      <w:r>
        <w:t>本文表明，大型多机构企业在贫穷国家面临着较高的中层管理成本，这种成本抑制了现代部门的增长。我们使用一个数据库提供了新的实证证据，该数据库涵盖了146个国家的30万名现代公司中层管理人员的薪酬。我们估计，实际管理成本相对于每个工人实际GDP的弹性为0.1。我们使用校准的适当技术模型来量化这一发现的重要性，在该模型中，企业选择是否采用管理密集型现代企业结构。发展中国家较低的管理成本将使现代部门的收入份额增加10-20个百分点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https://www.nber.org/papers/w30592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