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脱碳经济中的电力零售费率设计——使用时间和临界峰值定价分析</w:t>
      </w:r>
    </w:p>
    <w:p>
      <w:pPr>
        <w:pStyle w:val="cn"/>
        <w:jc w:val="center"/>
      </w:pPr>
      <w:r>
        <w:t>作者:Tim Schittekatte, Dharik S. Mallapragada, Paul L. Joskow, Richard Schmalensee</w:t>
      </w:r>
    </w:p>
    <w:p>
      <w:pPr>
        <w:pStyle w:val="cn"/>
        <w:ind w:firstLine="420"/>
        <w:jc w:val="left"/>
      </w:pPr>
      <w:r>
        <w:t>目前，大多数美国电力消费者每消耗kWh支付固定价格，占其账单的大部分。电力系统的持续发展提高了效率，这可以通过使消费者暴露在广泛变化的批发现货价格中来实现。纯现货定价不受欢迎；消费者（和政客）重视价格的可预测性和账单的稳定性。我们专注于第二个最佳选择：使用时间（TOU）和关键峰值定价（CPP）。我们介绍了针对日间可换班负荷增加的情况量身定制的备选评估标准。使用来自CAISO、ERCOT和ISO-NE的历史数据，我们发现分时电价和现货价格之间的样本外每日Spearman秩相关性可能相对较高（平均0.7-0.8），模拟证实分时电价可以合理复制有效的负荷转移激励（高达60-70%的潜力）。我们的分析表明，分时电价，尤其是与CPP相补充时，比之前估计的社会价值要高得多。</w:t>
      </w:r>
    </w:p>
    <w:p/>
    <w:p>
      <w:pPr>
        <w:pStyle w:val="cn"/>
        <w:jc w:val="left"/>
      </w:pPr>
      <w:r>
        <w:rPr>
          <w:b/>
        </w:rPr>
        <w:t>原文链接:</w:t>
        <w:br/>
      </w:r>
      <w:hyperlink r:id="rId9">
        <w:r>
          <w:rPr>
            <w:color w:val="0000FF"/>
            <w:u w:val="single"/>
          </w:rPr>
          <w:t>https://www.nber.org/papers/w30560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