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货币政策制度的赛马——一项实验研究</w:t>
      </w:r>
    </w:p>
    <w:p>
      <w:pPr>
        <w:pStyle w:val="cn"/>
        <w:jc w:val="center"/>
      </w:pPr>
      <w:r>
        <w:t>作者:Olena Kostyshyna, Luba Petersen, Jing Yang</w:t>
      </w:r>
    </w:p>
    <w:p>
      <w:pPr>
        <w:pStyle w:val="cn"/>
        <w:ind w:firstLine="420"/>
        <w:jc w:val="left"/>
      </w:pPr>
      <w:r>
        <w:t>我们对欧洲央行以外的主要货币政策框架进行了全面评估。通货膨胀目标、双重任务、4和10个时期内的平均通货膨胀目标、价格水平目标和名义GDP水平目标在实验室环境中进行评估。与具有充分信息理性预期的理论预测相反，参与者表现出向后看的预期，因此，利率目标授权优于水平目标。更多的历史依赖会恶化宏观经济的稳定性。当根据通货膨胀率而不是价格水平制定任务时，通胀预期得到更好的管理。中央银行沟通显著提高了价格水平目标的绩效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https://www.nber.org/papers/w30530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