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通货膨胀预期与企业借贷决策——新的因果证据</w:t>
      </w:r>
    </w:p>
    <w:p>
      <w:pPr>
        <w:pStyle w:val="cn"/>
        <w:jc w:val="center"/>
      </w:pPr>
      <w:r>
        <w:t>作者:Tiziano Ropele, Yuriy Gorodnichenko, Olivier Coibion</w:t>
      </w:r>
    </w:p>
    <w:p>
      <w:pPr>
        <w:pStyle w:val="cn"/>
        <w:ind w:firstLine="420"/>
        <w:jc w:val="left"/>
      </w:pPr>
      <w:r>
        <w:t>我们将意大利公司的调查数据与详细的信贷数据相匹配，其中包括一个重复的实验，在该实验中，随着时间的推移，有关通货膨胀的信息被随机提供给公司，这些数据涵盖了公司的借贷决策。这使我们能够研究通货膨胀预期的外生变化如何影响意大利企业的借贷决策。我们记录了一些新的结果。通胀预期过高的公司最终平均支付更高的利率，但不会改变贷款的总体需求。相反，我们发现公司的借贷决策从低息的长期贷款转向高息的短期贷款有了重大的再平衡。由于预期未来利率上升会导致预期通胀率上升，企业也会利用新的长期贷款来偿还现有贷款，从而锁定利率储蓄。相对更了解金融工具的公司尤其热衷于后者。</w:t>
      </w:r>
    </w:p>
    <w:p/>
    <w:p>
      <w:pPr>
        <w:pStyle w:val="cn"/>
        <w:jc w:val="left"/>
      </w:pPr>
      <w:r>
        <w:rPr>
          <w:b/>
        </w:rPr>
        <w:t>原文链接:</w:t>
        <w:br/>
      </w:r>
      <w:hyperlink r:id="rId9">
        <w:r>
          <w:rPr>
            <w:color w:val="0000FF"/>
            <w:u w:val="single"/>
          </w:rPr>
          <w:t>https://www.nber.org/papers/w30537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