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银行恐慌中的存款和信贷重组——国有银行的作用</w:t>
      </w:r>
    </w:p>
    <w:p>
      <w:pPr>
        <w:pStyle w:val="cn"/>
        <w:jc w:val="center"/>
      </w:pPr>
      <w:r>
        <w:t>作者:Viral V. Acharya, Abhiman Das, Nirupama Kulkarni, Prachi Mishra, Nagpurnanand R. Prabhala</w:t>
      </w:r>
    </w:p>
    <w:p>
      <w:pPr>
        <w:pStyle w:val="cn"/>
        <w:ind w:firstLine="420"/>
        <w:jc w:val="left"/>
      </w:pPr>
      <w:r>
        <w:t>我们研究了印度的一次银行挤兑事件，其中私人银行分行突然遭遇大量存款损失，寻求国有公共部门银行（PSB）的安全。我们使用银行-公司关系和分行资产负债表的细粒数据来追踪这种重新分配的后果。追求安全不是追求质量。挤兑银行的贷款减少，信贷质量提高，但受援国私人银行的情况恶化。这种影响在较弱的私营部门中表现得很明显，这些私营部门更有可能利用国家所有权的庇护。总的来说，资源重新分配效率低下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https://www.nber.org/papers/w30557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