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ESG混乱与股票收益率应对噪声问题</w:t>
      </w:r>
    </w:p>
    <w:p>
      <w:pPr>
        <w:pStyle w:val="cn"/>
        <w:jc w:val="center"/>
      </w:pPr>
      <w:r>
        <w:t>作者:Florian Berg, Julian F. Koelbel, Anna Pavlova, Roberto Rigobon</w:t>
      </w:r>
    </w:p>
    <w:p>
      <w:pPr>
        <w:pStyle w:val="cn"/>
        <w:ind w:firstLine="420"/>
        <w:jc w:val="left"/>
      </w:pPr>
      <w:r>
        <w:t>ESG（环境、社会和治理）绩效如何影响股票回报？回答这个问题很困难，因为现有的ESG绩效衡量标准（ESG评级）是有噪声的，因此，标准回归估计存在衰减偏差。为了解决偏差，我们提出了两种噪声校正程序，其中我们将ESG评级与其他ESG评级机构的评级进行比较，如经典的变量误差问题。经修正的估计表明，ESG表现对股票回报的影响比先前估计的更强：在修正衰减偏差后，系数平均增加2.6倍，意味着平均噪声与信号比为61.7%。衰减偏差在衡量股票收益的水平上是稳定的。在模拟中，我们的噪声校正过程优于从业人员采用的标准方法，如平均值或主成分分析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https://www.nber.org/papers/w30562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