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Emerging market bond flows and exchange rate returns</w:t>
      </w:r>
    </w:p>
    <w:p>
      <w:pPr>
        <w:jc w:val="center"/>
      </w:pPr>
      <w:r>
        <w:rPr>
          <w:b/>
        </w:rPr>
        <w:t>Author:</w:t>
      </w:r>
      <w:r>
        <w:t>Peter Hördahl, Giorgio Valente</w:t>
      </w:r>
    </w:p>
    <w:p>
      <w:pPr>
        <w:jc w:val="both"/>
      </w:pPr>
      <w:r>
        <w:rPr>
          <w:b/>
        </w:rPr>
        <w:t>Summary</w:t>
      </w:r>
    </w:p>
    <w:p>
      <w:pPr>
        <w:jc w:val="both"/>
      </w:pPr>
      <w:r>
        <w:rPr>
          <w:b/>
        </w:rPr>
        <w:t>Focus</w:t>
      </w:r>
    </w:p>
    <w:p>
      <w:pPr>
        <w:ind w:firstLine="240"/>
        <w:jc w:val="both"/>
      </w:pPr>
      <w:r>
        <w:t>We study the relationship between international bond portfolio flows and exchange rate returns across a range of emerging market economies (EMEs). In particular, we investigate whether international bond flows are correlated with subsequent exchange rate changes, and if such a relationship could be exploited as a portfolio strategy.</w:t>
      </w:r>
    </w:p>
    <w:p>
      <w:pPr>
        <w:jc w:val="both"/>
      </w:pPr>
      <w:r>
        <w:rPr>
          <w:b/>
        </w:rPr>
        <w:t>Contribution</w:t>
      </w:r>
    </w:p>
    <w:p>
      <w:pPr>
        <w:ind w:firstLine="240"/>
        <w:jc w:val="both"/>
      </w:pPr>
      <w:r>
        <w:t>We contribute to the literature on the predictability of exchange rate returns by studying a novel leading indicator: international portfolio flows to funds investing in bonds. Our focus is on EMEs, which helps shine a light on the importance of portfolio flows for exchange rate fluctuations in such economies. As a result, we identify a new flow-based risk factor that is priced in the cross section of EME currencies.</w:t>
      </w:r>
    </w:p>
    <w:p>
      <w:pPr>
        <w:jc w:val="both"/>
      </w:pPr>
      <w:r>
        <w:rPr>
          <w:b/>
        </w:rPr>
        <w:t>Findings</w:t>
      </w:r>
    </w:p>
    <w:p>
      <w:pPr>
        <w:ind w:firstLine="240"/>
        <w:jc w:val="both"/>
      </w:pPr>
      <w:r>
        <w:t>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This reflects the existence of a flow-based risk factor that is priced in EME currencies. It is consistent with investors requiring compensation for the risk that countries experiencing large portfolio inflows today could be facing a future tightening of their aggregate financial conditions.</w:t>
      </w:r>
    </w:p>
    <w:p>
      <w:pPr>
        <w:jc w:val="both"/>
      </w:pPr>
      <w:r>
        <w:rPr>
          <w:b/>
        </w:rPr>
      </w:r>
    </w:p>
    <w:p>
      <w:pPr>
        <w:jc w:val="both"/>
      </w:pPr>
      <w:r>
        <w:rPr>
          <w:b/>
        </w:rPr>
        <w:t>Abstract</w:t>
      </w:r>
    </w:p>
    <w:p>
      <w:pPr>
        <w:ind w:firstLine="240"/>
        <w:jc w:val="both"/>
      </w:pPr>
      <w:r>
        <w:t>We study the relationship between international bond flows and exchange rate returns for a panel of emerging market economies (EMEs). Specifically, we investigate whether international net bond flows are correlated with subsequent changes in the value of the local currency against the US dollar. 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Moreover, using an asset pricing approach, we find strong evidence that a risk factor implied by this result is priced in the cross-section of currencies. These findings are consistent with investors requiring compensation for the risk that countries experiencing large portfolio inflows today could be facing a future tightening of their aggregate financial conditions.</w:t>
      </w:r>
    </w:p>
    <w:p>
      <w:pPr>
        <w:ind w:firstLine="240"/>
        <w:jc w:val="both"/>
      </w:pPr>
      <w:r>
        <w:t>JEL classification: F31,G12, G23, G24.</w:t>
      </w:r>
    </w:p>
    <w:p>
      <w:pPr>
        <w:ind w:firstLine="240"/>
        <w:jc w:val="both"/>
      </w:pPr>
      <w:r>
        <w:t>Keywords: Bond ows, exchange rate dynamics, financial conditions.</w:t>
      </w:r>
    </w:p>
    <w:p/>
    <w:p>
      <w:pPr>
        <w:jc w:val="left"/>
      </w:pPr>
      <w:r>
        <w:rPr>
          <w:b/>
        </w:rPr>
        <w:t>Url:</w:t>
        <w:br/>
      </w:r>
      <w:hyperlink r:id="rId9">
        <w:r>
          <w:rPr>
            <w:color w:val="0000FF"/>
            <w:u w:val="single"/>
          </w:rPr>
          <w:t>https://www.bis.org/publ/work1042.htm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