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Hearing of the Committee on Economic and Monetary Affairs of the European Parliament</w:t>
      </w:r>
    </w:p>
    <w:p>
      <w:r>
        <w:t>Author:Christine Lagarde</w:t>
      </w:r>
    </w:p>
    <w:p>
      <w:r>
        <w:t>Date:2022-09-26</w:t>
      </w:r>
    </w:p>
    <w:p>
      <w:r>
        <w:t>Keyword:NA</w:t>
      </w:r>
    </w:p>
    <w:p>
      <w:r>
        <w:t>Attachment:</w:t>
      </w:r>
      <w:hyperlink r:id="rId9">
        <w:r>
          <w:rPr>
            <w:color w:val="0000FF"/>
            <w:u w:val="single"/>
          </w:rPr>
          <w:t>Link</w:t>
        </w:r>
      </w:hyperlink>
    </w:p>
    <w:p>
      <w:r>
        <w:t>From:</w:t>
      </w:r>
      <w:hyperlink r:id="rId10">
        <w:r>
          <w:rPr>
            <w:color w:val="0000FF"/>
            <w:u w:val="single"/>
          </w:rPr>
          <w:t>ECB-speech</w:t>
        </w:r>
      </w:hyperlink>
    </w:p>
    <w:p>
      <w:pPr>
        <w:ind w:firstLine="200"/>
      </w:pPr>
      <w:r>
        <w:t xml:space="preserve">Speech by Christine Lagarde, President of the ECB, at the Hearing of the Committee on Economic and Monetary Affairs of the European ParliamentBrussels, 26 September 2022It is a pleasure to be back here in Brussels with you for our third hearing this year. Russia’s unjustified war of aggression on Ukraine continues to cast a shadow over Europe. My thoughts are with the Ukrainian people suffering the senseless atrocities of the war. The economic consequences for the euro area have continued to unfold since we last met in June and the outlook is darkening.Inflation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 In line with the topics chosen for this hearing, I will provide you with a brief overview of the economic outlook and then explain our recent monetary policy decisions in greater detail. The outlook for the euro area economyThe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  These developments have led to a downward revision of the latest staff projections for economic growth for the remainder of the current year and throughout 2023. Staff now expect the economy to grow by 3.1 per cent in 2022, 0.9 per cent in 2023 and 1.9 per cent in 2024.  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pressures.Looking at the labour market, wage dynamics remain contained so far. However, resilient labour markets and some catch-up to compensate for higher inflation are likely to push up wage growth. Most measures of longer-term inflation expectations currently stand at around two per cent. However, signs of recent above-target revisions to some indicators warrant continued monitoring. The baseline inflation projections of ECB staff have been revised up significantly; annual inflation is now expected to stand at 8.1 per cent in 2022, 5.5 per cent in 2023 and 2.3 per cent in 2024.  The risks to the inflation outlook are primarily on the upside, mainly reflecting the possibility of further major disruptions in energy supplies. While these risk factors are the same for growth, their effect would be the opposite: they would increase inflation but reduce growth.The ECB’s monetary policyBased on the medium-term inflation outlook, the Governing Council decided to raise the three key ECB interest rates by 75 basis points, on top of the 50 basis point increase announced in July. 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approach.As requested by the Committee, I will now turn briefly to the issue of fragmentation. Since we embarked on our normalisation path in December 2021, we have made clear that we will act should fragmentation risks threaten the even transmission of monetary policy across the euro area. Since 1 July 2022, we have been applying flexibility in reinvesting redemptions coming due in the pandemic emergency purchase programme portfolio, with a view to countering risks to the transmission mechanism related to the pandemic.Later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policies.[1]ConclusionTo conclude, inflation continues to rise across the euro area, affecting citizens in all areas of life. 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 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 The best contribution monetary policy can make to the euro area economy is to ensure price stability over the medium term. This means ensuring inflation expectations remain well anchored and that demand conditions are consistent with our target. As I pledged to keep the European Parliament and the general public informed about our progress, let me end by providing you with a brief update on our ongoing work to incorporate climate change considerations into our monetary policy operations.[3]As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 These measures will reduce the Eurosystem’s exposure to climate-related financial risk, as well as support the green transition of the economy in line with the EU’s climate neutrality objectives. As of the first quarter of 2023, we will start publishing climate-related information on our corporate bond holdings, and we will regularly report on the steps we are taking to address climate change within the bounds of our mandate.I now stand ready to take your questions.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_annex~f3bdb6430e.en.pdf" TargetMode="External"/><Relationship Id="rId10"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