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Hearing of the Committee on Economic and Monetary Affairs of the European Parliament</w:t>
      </w:r>
    </w:p>
    <w:p>
      <w:pPr>
        <w:jc w:val="center"/>
      </w:pPr>
      <w:r>
        <w:t>Author:Christine Lagarde</w:t>
      </w:r>
    </w:p>
    <w:p>
      <w:pPr>
        <w:jc w:val="both"/>
      </w:pPr>
      <w:r>
        <w:rPr>
          <w:b/>
        </w:rPr>
        <w:t>Speech by Christine Lagarde, President of the ECB, at the Hearing of the Committee on Economic and Monetary Affairs of the European Parliament</w:t>
      </w:r>
    </w:p>
    <w:p>
      <w:pPr>
        <w:ind w:firstLine="200"/>
        <w:jc w:val="both"/>
      </w:pPr>
      <w:r>
        <w:t>Brussels, 26 September 2022</w:t>
      </w:r>
    </w:p>
    <w:p>
      <w:pPr>
        <w:ind w:firstLine="200"/>
        <w:jc w:val="both"/>
      </w:pPr>
      <w:r>
        <w:t>It is a pleasure to be back here in Brussels with you for our third hearing this year.</w:t>
      </w:r>
    </w:p>
    <w:p>
      <w:pPr>
        <w:ind w:firstLine="200"/>
        <w:jc w:val="both"/>
      </w:pPr>
      <w:r>
        <w:t>Russia’s unjustified war of aggression on Ukraine continues to cast a shadow over Europe. My thoughts are with the Ukrainian people suffering the senseless atrocities of the war.</w:t>
      </w:r>
    </w:p>
    <w:p>
      <w:pPr>
        <w:ind w:firstLine="200"/>
        <w:jc w:val="both"/>
      </w:pPr>
      <w:r>
        <w:t>The economic consequences for the euro area have continued to unfold since we last met in June and the outlook is darkening.</w:t>
      </w:r>
    </w:p>
    <w:p>
      <w:pPr>
        <w:ind w:firstLine="200"/>
        <w:jc w:val="both"/>
      </w:pPr>
      <w:r>
        <w:t>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w:t>
      </w:r>
    </w:p>
    <w:p>
      <w:pPr>
        <w:ind w:firstLine="200"/>
        <w:jc w:val="both"/>
      </w:pPr>
      <w:r>
        <w:t>In line with the topics chosen for this hearing, I will provide you with a brief overview of the economic outlook and then explain our recent monetary policy decisions in greater detail.</w:t>
      </w:r>
    </w:p>
    <w:p>
      <w:pPr>
        <w:jc w:val="both"/>
      </w:pPr>
      <w:r>
        <w:rPr>
          <w:b/>
        </w:rPr>
        <w:t>The outlook for the euro area economy</w:t>
      </w:r>
    </w:p>
    <w:p>
      <w:pPr>
        <w:ind w:firstLine="200"/>
        <w:jc w:val="both"/>
      </w:pPr>
      <w:r>
        <w:t>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w:t>
      </w:r>
    </w:p>
    <w:p>
      <w:pPr>
        <w:ind w:firstLine="200"/>
        <w:jc w:val="both"/>
      </w:pPr>
      <w:r>
        <w:t>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w:t>
      </w:r>
    </w:p>
    <w:p>
      <w:pPr>
        <w:ind w:firstLine="200"/>
        <w:jc w:val="both"/>
      </w:pPr>
      <w:r>
        <w:t>These developments have led to a downward revision of the latest staff projections for economic growth for the remainder of the current year and throughout 2023. Staff now expect the economy to grow by 3.1 per cent in 2022, 0.9 per cent in 2023 and 1.9 per cent in 2024.</w:t>
      </w:r>
    </w:p>
    <w:p>
      <w:pPr>
        <w:ind w:firstLine="200"/>
        <w:jc w:val="both"/>
      </w:pPr>
      <w:r>
        <w:t>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w:t>
      </w:r>
    </w:p>
    <w:p>
      <w:pPr>
        <w:ind w:firstLine="200"/>
        <w:jc w:val="both"/>
      </w:pPr>
      <w:r>
        <w:t>Looking at the labour market, wage dynamics remain contained so far. However, resilient labour markets and some catch-up to compensate for higher inflation are likely to push up wage growth.</w:t>
      </w:r>
    </w:p>
    <w:p>
      <w:pPr>
        <w:ind w:firstLine="200"/>
        <w:jc w:val="both"/>
      </w:pPr>
      <w:r>
        <w:t>Most measures of longer-term inflation expectations currently stand at around two per cent. However, signs of recent above-target revisions to some indicators warrant continued monitoring.</w:t>
      </w:r>
    </w:p>
    <w:p>
      <w:pPr>
        <w:ind w:firstLine="200"/>
        <w:jc w:val="both"/>
      </w:pPr>
      <w:r>
        <w:t>The baseline inflation projections of ECB staff have been revised up significantly; annual inflation is now expected to stand at 8.1 per cent in 2022, 5.5 per cent in 2023 and 2.3 per cent in 2024.</w:t>
      </w:r>
    </w:p>
    <w:p>
      <w:pPr>
        <w:ind w:firstLine="200"/>
        <w:jc w:val="both"/>
      </w:pPr>
      <w:r>
        <w:t>The risks to the inflation outlook are primarily on the upside, mainly reflecting the possibility of further major disruptions in energy supplies. While these risk factors are the same for growth, their effect would be the opposite: they would increase inflation but reduce growth.</w:t>
      </w:r>
    </w:p>
    <w:p>
      <w:pPr>
        <w:jc w:val="both"/>
      </w:pPr>
      <w:r>
        <w:rPr>
          <w:b/>
        </w:rPr>
        <w:t>The ECB’s monetary policy</w:t>
      </w:r>
    </w:p>
    <w:p>
      <w:pPr>
        <w:ind w:firstLine="200"/>
        <w:jc w:val="both"/>
      </w:pPr>
      <w:r>
        <w:t>Based on the medium-term inflation outlook, the Governing Council decided to raise the three key ECB interest rates by 75 basis points, on top of the 50 basis point increase announced in July.</w:t>
      </w:r>
    </w:p>
    <w:p>
      <w:pPr>
        <w:ind w:firstLine="200"/>
        <w:jc w:val="both"/>
      </w:pPr>
      <w:r>
        <w:t>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w:t>
      </w:r>
    </w:p>
    <w:p>
      <w:pPr>
        <w:ind w:firstLine="200"/>
        <w:jc w:val="both"/>
      </w:pPr>
      <w:r>
        <w:t>As requested by the Committee, I will now turn briefly to the issue of fragmentation. Since we embarked on our normalisation path in December 2021, we have made clear that we will act should fragmentation risks threaten the even transmission of monetary policy across the euro area.</w:t>
      </w:r>
    </w:p>
    <w:p>
      <w:pPr>
        <w:ind w:firstLine="200"/>
        <w:jc w:val="both"/>
      </w:pPr>
      <w:r>
        <w:t>Since 1 July 2022, we have been applying flexibility in reinvesting redemptions coming due in the pandemic emergency purchase programme portfolio, with a view to countering risks to the transmission mechanism related to the pandemic.</w:t>
      </w:r>
    </w:p>
    <w:p>
      <w:pPr>
        <w:ind w:firstLine="200"/>
        <w:jc w:val="both"/>
      </w:pPr>
      <w:r>
        <w:t>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w:t>
      </w:r>
    </w:p>
    <w:p>
      <w:pPr>
        <w:jc w:val="both"/>
      </w:pPr>
      <w:r>
        <w:rPr>
          <w:b/>
        </w:rPr>
        <w:t>Conclusion</w:t>
      </w:r>
    </w:p>
    <w:p>
      <w:pPr>
        <w:ind w:firstLine="200"/>
        <w:jc w:val="both"/>
      </w:pPr>
      <w:r>
        <w:t>To conclude, inflation continues to rise across the euro area, affecting citizens in all areas of life.</w:t>
      </w:r>
    </w:p>
    <w:p>
      <w:pPr>
        <w:ind w:firstLine="200"/>
        <w:jc w:val="both"/>
      </w:pPr>
      <w:r>
        <w:t>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w:t>
      </w:r>
    </w:p>
    <w:p>
      <w:pPr>
        <w:ind w:firstLine="200"/>
        <w:jc w:val="both"/>
      </w:pPr>
      <w:r>
        <w:t>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w:t>
      </w:r>
    </w:p>
    <w:p>
      <w:pPr>
        <w:ind w:firstLine="200"/>
        <w:jc w:val="both"/>
      </w:pPr>
      <w:r>
        <w:t>The best contribution monetary policy can make to the euro area economy is to ensure price stability over the medium term. This means ensuring inflation expectations remain well anchored and that demand conditions are consistent with our target.</w:t>
      </w:r>
    </w:p>
    <w:p>
      <w:pPr>
        <w:ind w:firstLine="200"/>
        <w:jc w:val="both"/>
      </w:pPr>
      <w:r>
        <w:t>As I pledged to keep the European Parliament and the general public informed about our progress, let me end by providing you with a brief update on our ongoing work to incorporate climate change considerations into our monetary policy operations.[3]</w:t>
      </w:r>
    </w:p>
    <w:p>
      <w:pPr>
        <w:ind w:firstLine="200"/>
        <w:jc w:val="both"/>
      </w:pPr>
      <w:r>
        <w:t>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w:t>
      </w:r>
    </w:p>
    <w:p>
      <w:pPr>
        <w:ind w:firstLine="200"/>
        <w:jc w:val="both"/>
      </w:pPr>
      <w:r>
        <w:t>These measures will reduce the Eurosystem’s exposure to climate-related financial risk, as well as support the green transition of the economy in line with the EU’s climate neutrality objectives.</w:t>
      </w:r>
    </w:p>
    <w:p>
      <w:pPr>
        <w:ind w:firstLine="200"/>
        <w:jc w:val="both"/>
      </w:pPr>
      <w:r>
        <w:t>As of the first quarter of 2023, we will start publishing climate-related information on our corporate bond holdings, and we will regularly report on the steps we are taking to address climate change within the bounds of our mandate.</w:t>
      </w:r>
    </w:p>
    <w:p>
      <w:pPr>
        <w:ind w:firstLine="200"/>
        <w:jc w:val="both"/>
      </w:pPr>
      <w:r>
        <w:t>I now stand ready to take your questions.</w:t>
      </w:r>
    </w:p>
    <w:p/>
    <w:p/>
    <w:p/>
    <w:p>
      <w:pPr>
        <w:jc w:val="left"/>
      </w:pPr>
      <w:r>
        <w:rPr>
          <w:b/>
        </w:rPr>
        <w:t>Url:</w:t>
      </w:r>
      <w:hyperlink r:id="rId9">
        <w:r>
          <w:rPr>
            <w:color w:val="0000FF"/>
            <w:u w:val="single"/>
          </w:rPr>
          <w:t>https://www.ecb.europa.eu/press/key/date/2022/html/ecb.sp220926_1~0bd6fcc86c.en.html</w:t>
        </w:r>
      </w:hyperlink>
    </w:p>
    <w:p>
      <w:pPr>
        <w:jc w:val="left"/>
      </w:pPr>
      <w:r>
        <w:rPr>
          <w:b/>
        </w:rPr>
        <w:t>PDF:</w:t>
      </w:r>
      <w:hyperlink r:id="rId10">
        <w:r>
          <w:rPr>
            <w:color w:val="0000FF"/>
            <w:u w:val="single"/>
          </w:rPr>
          <w:t>https://www.ecb.europa.eu/press/key/date/2022/html/ecb.sp220926_1_annex~f3bdb6430e.en.pdf</w:t>
        </w:r>
      </w:hyperlink>
    </w:p>
    <w:p>
      <w:pPr>
        <w:jc w:val="left"/>
      </w:pPr>
      <w:r>
        <w:rPr>
          <w:b/>
        </w:rPr>
        <w:t>From:</w:t>
      </w:r>
      <w:r>
        <w:t>ECB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0bd6fcc86c.en.html" TargetMode="External"/><Relationship Id="rId10" Type="http://schemas.openxmlformats.org/officeDocument/2006/relationships/hyperlink" Target="https://www.ecb.europa.eu/press/key/date/2022/html/ecb.sp220926_1_annex~f3bdb6430e.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