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a virtue out of necessity the effect of negative interest rates on bank cost efficiency</w:t>
      </w:r>
    </w:p>
    <w:p>
      <w:pPr>
        <w:jc w:val="center"/>
      </w:pPr>
      <w:r>
        <w:rPr>
          <w:b/>
        </w:rPr>
        <w:t>Author:</w:t>
      </w:r>
      <w:r>
        <w:t>Giuseppe Avignone, Claudia Girardone, Cosimo Pancaro, Livia Pancotto, Alessio Reghezza</w:t>
      </w:r>
    </w:p>
    <w:p>
      <w:pPr>
        <w:ind w:firstLine="240"/>
        <w:jc w:val="both"/>
      </w:pPr>
      <w:r>
        <w:t>Abstract</w:t>
      </w:r>
    </w:p>
    <w:p>
      <w:pPr>
        <w:ind w:firstLine="240"/>
        <w:jc w:val="both"/>
      </w:pPr>
      <w:r>
        <w: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