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the COVID-19 shock on euro area potential output a sectoral approach</w:t>
      </w:r>
    </w:p>
    <w:p>
      <w:pPr>
        <w:jc w:val="center"/>
      </w:pPr>
      <w:r>
        <w:rPr>
          <w:b/>
        </w:rPr>
        <w:t>Author:</w:t>
      </w:r>
      <w:r>
        <w:t>Nicolò Bandera, Katalin Bodnár, Julien Le Roux, Béla Szörfi</w:t>
      </w:r>
    </w:p>
    <w:p>
      <w:pPr>
        <w:ind w:firstLine="240"/>
        <w:jc w:val="both"/>
      </w:pPr>
      <w:r>
        <w:t>Abstract</w:t>
      </w:r>
    </w:p>
    <w:p>
      <w:pPr>
        <w:ind w:firstLine="240"/>
        <w:jc w:val="both"/>
      </w:pPr>
      <w:r>
        <w: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