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Immigrants and the distribution of income and wealth in the euro area first facts and implications for monetary policy</w:t>
      </w:r>
    </w:p>
    <w:p>
      <w:pPr>
        <w:jc w:val="center"/>
      </w:pPr>
      <w:r>
        <w:rPr>
          <w:b/>
        </w:rPr>
        <w:t>Author:</w:t>
      </w:r>
      <w:r>
        <w:t>Maarten Dossche, Aleksandra Kolndrekaj, Maximilian Propst, Javier Ramos Perez, Jiri Slacalek</w:t>
      </w:r>
    </w:p>
    <w:p>
      <w:pPr>
        <w:ind w:firstLine="240"/>
        <w:jc w:val="both"/>
      </w:pPr>
      <w:r>
        <w:t>Abstract</w:t>
      </w:r>
    </w:p>
    <w:p>
      <w:pPr>
        <w:ind w:firstLine="240"/>
        <w:jc w:val="both"/>
      </w:pPr>
      <w:r>
        <w: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w:t>
      </w:r>
    </w:p>
    <w:p>
      <w:pPr>
        <w:ind w:firstLine="240"/>
        <w:jc w:val="both"/>
      </w:pPr>
      <w:r>
        <w:t>JEL Code</w:t>
      </w:r>
    </w:p>
    <w:p>
      <w:pPr>
        <w:ind w:firstLine="240"/>
        <w:jc w:val="both"/>
      </w:pPr>
      <w:r>
        <w:t>J15 : Labor and Demographic Economics→Demographic Economics→Economics of Minorities, Races, Indigenous Peoples, and Immigrants, Non-labor DiscriminationD31 : Microeconomics→Distribution→Personal Income, Wealth, and Their DistributionsE52 : Macroeconomics and Monetary Economics→Monetary Policy, Central Banking, and the Supply of Money and Credit→Monetary Policy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