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to release capital requirements during a pandemic Evidence from euro area banks</w:t>
      </w:r>
    </w:p>
    <w:p>
      <w:pPr>
        <w:jc w:val="center"/>
      </w:pPr>
      <w:r>
        <w:t>Author:Cyril CouaillierAlessio ReghezzaCostanza Rodriguez d’AcriAlessandro Scopelliti</w:t>
      </w:r>
    </w:p>
    <w:p>
      <w:pPr>
        <w:ind w:firstLine="200"/>
        <w:jc w:val="both"/>
      </w:pPr>
      <w:r>
        <w:t>Abstract</w:t>
      </w:r>
    </w:p>
    <w:p>
      <w:pPr>
        <w:ind w:firstLine="200"/>
        <w:jc w:val="both"/>
      </w:pPr>
      <w:r>
        <w: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https://www.ecb.europa.eu//pub/pdf/scpwps/ecb.wp2720~e6f3686548.en.pdf?2982e984581f593be8f316d8ee31474e</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0~e6f3686548.en.pdf?2982e984581f593be8f316d8ee3147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