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Corrective regulation with imperfect instruments</w:t>
      </w:r>
    </w:p>
    <w:p>
      <w:pPr>
        <w:jc w:val="center"/>
      </w:pPr>
      <w:r>
        <w:t>Author:Eduardo DávilaAnsgar Walther</w:t>
      </w:r>
    </w:p>
    <w:p>
      <w:pPr>
        <w:ind w:firstLine="200"/>
        <w:jc w:val="both"/>
      </w:pPr>
      <w:r>
        <w:t>Abstract</w:t>
      </w:r>
    </w:p>
    <w:p>
      <w:pPr>
        <w:ind w:firstLine="200"/>
        <w:jc w:val="both"/>
      </w:pPr>
      <w:r>
        <w:t>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</w:t>
      </w:r>
    </w:p>
    <w:p>
      <w:pPr>
        <w:ind w:firstLine="200"/>
        <w:jc w:val="both"/>
      </w:pPr>
      <w:r>
        <w:t>JEL Code</w:t>
      </w:r>
    </w:p>
    <w:p>
      <w:pPr>
        <w:ind w:firstLine="200"/>
        <w:jc w:val="both"/>
      </w:pPr>
      <w:r>
        <w:t>H23 : Public Economics→Taxation, Subsidies, and Revenue→Externalities, Redistributive Effects, Environmental Taxes and SubsidiesQ58 : Agricultural and Natural Resource Economics, Environmental and Ecological Economics→Environmental Economics→Government PolicyG28 : Financial Economics→Financial Institutions and Services→Government Policy and RegulationD62 : Microeconomics→Welfare Economics→Externalities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https://www.ecb.europa.eu//pub/pdf/scpwps/ecb.wp2723~515408742d.en.pdf?b4476acd61c6e407292b2f5567efc855</w:t>
        </w:r>
      </w:hyperlink>
    </w:p>
    <w:p>
      <w:pPr>
        <w:jc w:val="left"/>
      </w:pPr>
      <w:r>
        <w:rPr>
          <w:b/>
        </w:rPr>
        <w:t>From:</w:t>
      </w:r>
      <w:r>
        <w:t>ECB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3~515408742d.en.pdf?b4476acd61c6e407292b2f5567efc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