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Financial exposure and bank mergers micro and macro evidence from the EU</w:t>
      </w:r>
    </w:p>
    <w:p>
      <w:pPr>
        <w:jc w:val="center"/>
      </w:pPr>
      <w:r>
        <w:rPr>
          <w:b/>
        </w:rPr>
        <w:t>Author:</w:t>
      </w:r>
      <w:r>
        <w:t>Laura Lebastard</w:t>
      </w:r>
    </w:p>
    <w:p>
      <w:pPr>
        <w:ind w:firstLine="240"/>
        <w:jc w:val="both"/>
      </w:pPr>
      <w:r>
        <w:t>Abstract</w:t>
      </w:r>
    </w:p>
    <w:p>
      <w:pPr>
        <w:ind w:firstLine="240"/>
        <w:jc w:val="both"/>
      </w:pPr>
      <w:r>
        <w:t>This paper studies for the first time the links between interbank liability and equity markets (financial exposure), and mergers and acquisitions (M&amp;As) in the European banking sector, both at the micro and macro level. Using a binary logit model, the paper first examines – at the micro level – how financial exposures between banks affect the probability of M&amp;A. It finds that financial interlinkages significantly increase the chances of them taking place. Using a gravity model, the paper then investigates – at the macro level – whether the micro results hold. Not only do financial links are positively and significantly correlated with the number of M&amp;As between countries, but they are also a better predictor than trade – traditionally used in the macro literature on M&amp;A. Since the Capital Market Union would help to geographically diversify banks’ portfolio, it would therefore also foster cross-border M&amp;As. Finally, the paper builds a M&amp;A compatibility index for each pair of EU countries. The study highlights strong M&amp;As prospects linked to high financial interlinkages in core Europe, which could be the sign of a future asymmetrical financial integration in the EU.</w:t>
      </w:r>
    </w:p>
    <w:p/>
    <w:p>
      <w:pPr>
        <w:jc w:val="left"/>
      </w:pPr>
      <w:r>
        <w:rPr>
          <w:b/>
        </w:rPr>
        <w:t>Url:</w:t>
        <w:br/>
      </w:r>
      <w:hyperlink r:id="rId9">
        <w:r>
          <w:rPr>
            <w:color w:val="0000FF"/>
            <w:u w:val="single"/>
          </w:rPr>
          <w:t>https://www.ecb.europa.eu/pub/research/working-papers/html/papers-2022.include.en.html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ecb.europa.eu/pub/research/working-papers/html/papers-2022.include.e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