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Deflationary financial shocks and inflationary uncertainty shocks an SVAR Investigation</w:t>
      </w:r>
    </w:p>
    <w:p>
      <w:pPr>
        <w:jc w:val="center"/>
      </w:pPr>
      <w:r>
        <w:t>Author:Roberto A. De SantisWouter Van der Veken</w:t>
      </w:r>
    </w:p>
    <w:p>
      <w:pPr>
        <w:ind w:firstLine="200"/>
        <w:jc w:val="both"/>
      </w:pPr>
      <w:r>
        <w:t>Abstract</w:t>
      </w:r>
    </w:p>
    <w:p>
      <w:pPr>
        <w:ind w:firstLine="200"/>
        <w:jc w:val="both"/>
      </w:pPr>
      <w:r>
        <w:t>What are the economic implications of financial and uncertainty shocks? We show that financial shocks cause a decline in output and goods prices, while uncertainty shocks cause a decline in output and an increase in goods prices. In response to un-certainty shocks, firms increase their markups, in line with the theory of self-insurance against being stuck with too low a price. This explains why goods prices may increase at the onset of a recession and are not accompanied by pronounced deflationary pressures. The two shocks are identified jointly with an approach that is less restrictive than Antolín-Díaz and Rubio-Ramírez’s method.</w:t>
      </w:r>
    </w:p>
    <w:p/>
    <w:p/>
    <w:p/>
    <w:p>
      <w:pPr>
        <w:jc w:val="left"/>
      </w:pPr>
      <w:r>
        <w:rPr>
          <w:b/>
        </w:rPr>
        <w:t>Url:</w:t>
      </w:r>
      <w:hyperlink r:id="rId9">
        <w:r>
          <w:rPr>
            <w:color w:val="0000FF"/>
            <w:u w:val="single"/>
          </w:rPr>
          <w:t>https://www.ecb.europa.eu/pub/research/working-papers/html/papers-2022.include.en.html</w:t>
        </w:r>
      </w:hyperlink>
    </w:p>
    <w:p>
      <w:pPr>
        <w:jc w:val="left"/>
      </w:pPr>
      <w:r>
        <w:rPr>
          <w:b/>
        </w:rPr>
        <w:t>PDF:</w:t>
      </w:r>
      <w:hyperlink r:id="rId10">
        <w:r>
          <w:rPr>
            <w:color w:val="0000FF"/>
            <w:u w:val="single"/>
          </w:rPr>
          <w:t>https://www.ecb.europa.eu//pub/pdf/scpwps/ecb.wp2727~a82f405ead.en.pdf?52654ce648d255f6ea6f36f19efbf747</w:t>
        </w:r>
      </w:hyperlink>
    </w:p>
    <w:p>
      <w:pPr>
        <w:jc w:val="left"/>
      </w:pPr>
      <w:r>
        <w:rPr>
          <w:b/>
        </w:rPr>
        <w:t>From:</w:t>
      </w:r>
      <w:r>
        <w:t>ECB - working_paper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ecb.europa.eu/pub/research/working-papers/html/papers-2022.include.en.html" TargetMode="External"/><Relationship Id="rId10" Type="http://schemas.openxmlformats.org/officeDocument/2006/relationships/hyperlink" Target="https://www.ecb.europa.eu//pub/pdf/scpwps/ecb.wp2727~a82f405ead.en.pdf?52654ce648d255f6ea6f36f19efbf7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