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Deflationary financial shocks and inflationary uncertainty shocks an SVAR Investigation</w:t>
      </w:r>
    </w:p>
    <w:p>
      <w:pPr>
        <w:jc w:val="center"/>
      </w:pPr>
      <w:r>
        <w:rPr>
          <w:b/>
        </w:rPr>
        <w:t>Author:</w:t>
      </w:r>
      <w:r>
        <w:t>Roberto A. De Santis, Wouter Van der Veken</w:t>
      </w:r>
    </w:p>
    <w:p>
      <w:pPr>
        <w:ind w:firstLine="240"/>
        <w:jc w:val="both"/>
      </w:pPr>
      <w:r>
        <w:t>Abstract</w:t>
      </w:r>
    </w:p>
    <w:p>
      <w:pPr>
        <w:ind w:firstLine="240"/>
        <w:jc w:val="both"/>
      </w:pPr>
      <w:r>
        <w:t>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