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new optimum currency area index for the euro area</w:t>
      </w:r>
    </w:p>
    <w:p>
      <w:pPr>
        <w:jc w:val="center"/>
      </w:pPr>
      <w:r>
        <w:rPr>
          <w:b/>
        </w:rPr>
        <w:t>Author:</w:t>
      </w:r>
      <w:r>
        <w:t>Davor Kunovac, Diego Rodriguez Palenzuela, Yiqiao Sun</w:t>
      </w:r>
    </w:p>
    <w:p>
      <w:pPr>
        <w:ind w:firstLine="240"/>
        <w:jc w:val="both"/>
      </w:pPr>
      <w:r>
        <w:t>Abstract</w:t>
      </w:r>
    </w:p>
    <w:p>
      <w:pPr>
        <w:ind w:firstLine="240"/>
        <w:jc w:val="both"/>
      </w:pPr>
      <w:r>
        <w: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