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new optimum currency area index for the euro area</w:t>
      </w:r>
    </w:p>
    <w:p>
      <w:r>
        <w:t>Author:Davor KunovacDiego Rodriguez PalenzuelaYiqiao Sun</w:t>
      </w:r>
    </w:p>
    <w:p>
      <w:r>
        <w:t>Date:2022-09-23</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run.JEL CodeF33 : International Economics→International Finance→International Monetary Arrangements and InstitutionsF44 : International Economics→Macroeconomic Aspects of International Trade and Finance→International Business CyclesE42 : Macroeconomics and Monetary Economics→Money and Interest Rates→Monetary Systems, Standards, Regimes, Government and the Monetary System, Payment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0~75e621eb1d.en.pdf?eda1e57c330e7fdc56978b64fbac6212"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