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Boosting carry with equilibrium exchange rate estimates</w:t>
      </w:r>
    </w:p>
    <w:p>
      <w:r>
        <w:t>Author:Michał RubaszekJoscha BeckmannMichele Ca' ZorziMarek Kwas</w:t>
      </w:r>
    </w:p>
    <w:p>
      <w:r>
        <w:t>Date:2022-09-26</w:t>
      </w:r>
    </w:p>
    <w:p>
      <w:r>
        <w:t>Keyword:NA</w:t>
      </w:r>
    </w:p>
    <w:p>
      <w:r>
        <w:t>Attachment:</w:t>
      </w:r>
      <w:hyperlink r:id="rId9">
        <w:r>
          <w:rPr>
            <w:color w:val="0000FF"/>
            <w:u w:val="single"/>
          </w:rPr>
          <w:t>Link</w:t>
        </w:r>
      </w:hyperlink>
    </w:p>
    <w:p>
      <w:r>
        <w:t>From:</w:t>
      </w:r>
      <w:hyperlink r:id="rId10">
        <w:r>
          <w:rPr>
            <w:color w:val="0000FF"/>
            <w:u w:val="single"/>
          </w:rPr>
          <w:t>ECB-working_paper</w:t>
        </w:r>
      </w:hyperlink>
    </w:p>
    <w:p>
      <w:pPr>
        <w:ind w:firstLine="200"/>
      </w:pPr>
      <w:r>
        <w:t>AbstractWe build currency portfolios based on the paradigm that exchange rates slowly converge to their equilibrium to highlight three results. First, this property can be exploited to build profitable portfolios. Second, the slow pace of convergence at short-horizons is consistent with the evidence of profitable carry trade strategies, i.e. the common practice of borrowing in low-yield currencies and investing in high-yield currencies. Third, the predictive power of equilibrium exchange rates may boost the performance of carry trade strategies.JEL CodeF31 : International Economics→International Finance→Foreign ExchangeG12 : Financial Economics→General Financial Markets→Asset Pricing, Trading Volume, Bond Interest RatesG15 : Financial Economics→General Financial Markets→International Financial Markets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31~4db9534c80.en.pdf?0045757da25b1a849524c685d346d145"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