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Boosting carry with equilibrium exchange rate estimates</w:t>
      </w:r>
    </w:p>
    <w:p>
      <w:pPr>
        <w:jc w:val="center"/>
      </w:pPr>
      <w:r>
        <w:rPr>
          <w:b/>
        </w:rPr>
        <w:t>Author:</w:t>
      </w:r>
      <w:r>
        <w:t>Michał Rubaszek, Joscha Beckmann, Michele Ca' Zorzi, Marek Kwas</w:t>
      </w:r>
    </w:p>
    <w:p>
      <w:pPr>
        <w:ind w:firstLine="240"/>
        <w:jc w:val="both"/>
      </w:pPr>
      <w:r>
        <w: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