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do banks manage liquidity Evidence from the ECB’s tiering experiment</w:t>
      </w:r>
    </w:p>
    <w:p>
      <w:pPr>
        <w:jc w:val="center"/>
      </w:pPr>
      <w:r>
        <w:rPr>
          <w:b/>
        </w:rPr>
        <w:t>Author:</w:t>
      </w:r>
      <w:r>
        <w:t>Luca Baldo, Florian Heider, Peter Hoffmann, Jean-David Sigaux, Olivier Vergote</w:t>
      </w:r>
    </w:p>
    <w:p>
      <w:pPr>
        <w:ind w:firstLine="240"/>
        <w:jc w:val="both"/>
      </w:pPr>
      <w:r>
        <w:t>Abstract</w:t>
      </w:r>
    </w:p>
    <w:p>
      <w:pPr>
        <w:ind w:firstLine="240"/>
        <w:jc w:val="both"/>
      </w:pPr>
      <w:r>
        <w: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