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do banks manage liquidity Evidence from the ECB’s tiering experiment</w:t>
      </w:r>
    </w:p>
    <w:p>
      <w:pPr>
        <w:jc w:val="center"/>
      </w:pPr>
      <w:r>
        <w:t>Author:Luca BaldoFlorian HeiderPeter HoffmannJean-David SigauxOlivier Vergote</w:t>
      </w:r>
    </w:p>
    <w:p>
      <w:pPr>
        <w:ind w:firstLine="200"/>
        <w:jc w:val="both"/>
      </w:pPr>
      <w:r>
        <w:t>Abstract</w:t>
      </w:r>
    </w:p>
    <w:p>
      <w:pPr>
        <w:ind w:firstLine="200"/>
        <w:jc w:val="both"/>
      </w:pPr>
      <w:r>
        <w:t>We study how banks manage their liquidity among the various assets at their disposal. We exploit the introduction of the ECB’s two-tier system which heterogeneously reduced the cost of additional reserves holdings. We find that the treated banks increase reserve holdings by borrowing on the interbank market, decreasing lending to affiliates of the same group, and selling marketable securities. We also find that banks have a preference for a stable portfolio composition of liquid assets over time. Our results imply that frictions in one market for liquidity can spill over to several markets.</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https://www.ecb.europa.eu//pub/pdf/scpwps/ecb.wp2732~9bb7f4e4cc.en.pdf?f616a74744ce53fffe1c703f3899dd14</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2~9bb7f4e4cc.en.pdf?f616a74744ce53fffe1c703f3899dd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