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anatomy of consumption in a household foreign currency debt crisis</w:t>
      </w:r>
    </w:p>
    <w:p>
      <w:pPr>
        <w:jc w:val="center"/>
      </w:pPr>
      <w:r>
        <w:rPr>
          <w:b/>
        </w:rPr>
        <w:t>Author:</w:t>
      </w:r>
      <w:r>
        <w:t>Győző Gyöngyösi, Judit Rariga, Emil Verner</w:t>
      </w:r>
    </w:p>
    <w:p>
      <w:pPr>
        <w:ind w:firstLine="240"/>
        <w:jc w:val="both"/>
      </w:pPr>
      <w:r>
        <w:t>How do households adjust to a large debt shock? This paper studies household responses to a revaluation of foreign currency household debt during a large depreciation in Hungary. Relative to similar local currency debtors, foreign currency debtors reduce consumption expenditures approximately one-for-one with increased debt service, suggesting binding liquidity constraints. Foreign currency debtors reduce both the quantity and quality of expenditures, consistent with nonhomothetic preferences and a “flight from quality.” Debt revaluation has no effect on labor market status, hours, or earnings, but there is a small adjustment toward foreign income streams and a substantial increase in home production.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