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Digitalisation, institutions and governance, and growth mechanisms and evidence</w:t>
      </w:r>
    </w:p>
    <w:p>
      <w:pPr>
        <w:jc w:val="center"/>
      </w:pPr>
      <w:r>
        <w:t>Author:Vincent LabhardJonne Lehtimäki</w:t>
      </w:r>
    </w:p>
    <w:p>
      <w:pPr>
        <w:ind w:firstLine="200"/>
        <w:jc w:val="both"/>
      </w:pPr>
      <w:r>
        <w:t>Abstract</w:t>
      </w:r>
    </w:p>
    <w:p>
      <w:pPr>
        <w:ind w:firstLine="200"/>
        <w:jc w:val="both"/>
      </w:pPr>
      <w:r>
        <w:t>Digitalisation may be viewed as a sequence of supply and technology shocks aﬀecting the economy through productivity and output, employment and labour markets, competition and market structure. This paper focuses on the eﬀects of digitalisation on economic growth, and how those eﬀects may be impacted by institutions and governance. It discusses a number of theoretical mechanisms and empirical evidence for diﬀerent sets of European and other countries. The results suggest that better institutions and governance tend to be associated with greater growth-enhancing eﬀects from digital technologies.</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https://www.ecb.europa.eu//pub/pdf/scpwps/ecb.wp2735~0173124e9e.en.pdf?fb81abf7cf25aae4de30c3b28c914c16</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35~0173124e9e.en.pdf?fb81abf7cf25aae4de30c3b28c914c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