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Digitalisation, institutions and governance, and growth mechanisms and evidence</w:t>
      </w:r>
    </w:p>
    <w:p>
      <w:r>
        <w:t>Author:Vincent LabhardJonne Lehtimäki</w:t>
      </w:r>
    </w:p>
    <w:p>
      <w:r>
        <w:t>Date:2022-09-28</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technologies.JEL CodeE22 : Macroeconomics and Monetary Economics→Consumption, Saving, Production, Investment, Labor Markets, and Informal Economy→Capital, Investment, CapacityO33 : Economic Development, Technological Change, and Growth→Technological Change, Research and Development, Intellectual Property Rights→Technological Change: Choices and Consequences, Diffusion ProcessesO43 : Economic Development, Technological Change, and Growth→Economic Growth and Aggregate Productivity→Institutions and GrowthO52 : Economic Development, Technological Change, and Growth→Economywide Country Studies→EuropeO57 : Economic Development, Technological Change, and Growth→Economywide Country Studies→Comparative Studies of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5~0173124e9e.en.pdf?fb81abf7cf25aae4de30c3b28c914c16"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