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Bringing Inflation Down</w:t>
      </w:r>
    </w:p>
    <w:p>
      <w:pPr>
        <w:jc w:val="center"/>
      </w:pPr>
      <w:r>
        <w:t>Author:Vice Chair Lael Brainard</w:t>
      </w:r>
    </w:p>
    <w:p>
      <w:pPr>
        <w:ind w:firstLine="200"/>
        <w:jc w:val="both"/>
      </w:pPr>
      <w: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r>
    </w:p>
    <w:p>
      <w:pPr>
        <w:ind w:firstLine="200"/>
        <w:jc w:val="both"/>
      </w:pPr>
      <w: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r>
    </w:p>
    <w:p>
      <w:pPr>
        <w:ind w:firstLine="200"/>
        <w:jc w:val="both"/>
      </w:pPr>
      <w: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r>
    </w:p>
    <w:p>
      <w:pPr>
        <w:ind w:firstLine="200"/>
        <w:jc w:val="both"/>
      </w:pPr>
      <w: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r>
    </w:p>
    <w:p>
      <w:pPr>
        <w:ind w:firstLine="200"/>
        <w:jc w:val="both"/>
      </w:pPr>
      <w: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r>
    </w:p>
    <w:p>
      <w:pPr>
        <w:ind w:firstLine="200"/>
        <w:jc w:val="both"/>
      </w:pPr>
      <w: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r>
    </w:p>
    <w:p>
      <w:pPr>
        <w:ind w:firstLine="200"/>
        <w:jc w:val="both"/>
      </w:pPr>
      <w: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r>
    </w:p>
    <w:p>
      <w:pPr>
        <w:ind w:firstLine="200"/>
        <w:jc w:val="both"/>
      </w:pPr>
      <w: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r>
    </w:p>
    <w:p>
      <w:pPr>
        <w:ind w:firstLine="200"/>
        <w:jc w:val="both"/>
      </w:pPr>
      <w: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r>
    </w:p>
    <w:p>
      <w:pPr>
        <w:ind w:firstLine="200"/>
        <w:jc w:val="both"/>
      </w:pPr>
      <w: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r>
    </w:p>
    <w:p>
      <w:pPr>
        <w:ind w:firstLine="200"/>
        <w:jc w:val="both"/>
      </w:pPr>
      <w: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r>
    </w:p>
    <w:p>
      <w:pPr>
        <w:ind w:firstLine="200"/>
        <w:jc w:val="both"/>
      </w:pPr>
      <w: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r>
    </w:p>
    <w:p>
      <w:pPr>
        <w:ind w:firstLine="200"/>
        <w:jc w:val="both"/>
      </w:pPr>
      <w: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r>
    </w:p>
    <w:p>
      <w:pPr>
        <w:ind w:firstLine="200"/>
        <w:jc w:val="both"/>
      </w:pPr>
      <w: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r>
    </w:p>
    <w:p>
      <w:pPr>
        <w:ind w:firstLine="200"/>
        <w:jc w:val="both"/>
      </w:pPr>
      <w: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r>
    </w:p>
    <w:p>
      <w:pPr>
        <w:ind w:firstLine="200"/>
        <w:jc w:val="both"/>
      </w:pPr>
      <w: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r>
    </w:p>
    <w:p>
      <w:pPr>
        <w:ind w:firstLine="200"/>
        <w:jc w:val="both"/>
      </w:pPr>
      <w: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r>
    </w:p>
    <w:p>
      <w:pPr>
        <w:ind w:firstLine="200"/>
        <w:jc w:val="both"/>
      </w:pPr>
      <w: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r>
    </w:p>
    <w:p>
      <w:pPr>
        <w:jc w:val="both"/>
      </w:pPr>
      <w:r>
        <w:rPr>
          <w:b/>
        </w:rPr>
      </w:r>
    </w:p>
    <w:p>
      <w:pPr>
        <w:ind w:firstLine="200"/>
        <w:jc w:val="both"/>
      </w:pPr>
      <w: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r>
    </w:p>
    <w:p>
      <w:pPr>
        <w:ind w:firstLine="200"/>
        <w:jc w:val="both"/>
      </w:pPr>
      <w: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r>
    </w:p>
    <w:p>
      <w:pPr>
        <w:ind w:firstLine="200"/>
        <w:jc w:val="both"/>
      </w:pPr>
      <w: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r>
    </w:p>
    <w:p>
      <w:pPr>
        <w:ind w:firstLine="200"/>
        <w:jc w:val="both"/>
      </w:pPr>
      <w:r>
        <w:t>4. For more information, see https://gasprices.aaa.com. Return to text</w:t>
      </w:r>
    </w:p>
    <w:p>
      <w:pPr>
        <w:ind w:firstLine="200"/>
        <w:jc w:val="both"/>
      </w:pPr>
      <w:r>
        <w:t>5. See, for example, Kim Chipman and Tarso Veloso Ribeiro (2022), "Dried-Out Farms from China to Iowa Will Pressure Food Prices," Bloomberg, August 27. Return to text</w:t>
      </w:r>
    </w:p>
    <w:p>
      <w:pPr>
        <w:ind w:firstLine="200"/>
        <w:jc w:val="both"/>
      </w:pPr>
      <w: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r>
    </w:p>
    <w:p>
      <w:pPr>
        <w:ind w:firstLine="200"/>
        <w:jc w:val="both"/>
      </w:pPr>
      <w: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r>
    </w:p>
    <w:p>
      <w:pPr>
        <w:ind w:firstLine="200"/>
        <w:jc w:val="both"/>
      </w:pPr>
      <w: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r>
    </w:p>
    <w:p>
      <w:pPr>
        <w:ind w:firstLine="200"/>
        <w:jc w:val="both"/>
      </w:pPr>
      <w:r>
        <w:t>9. See Ricardo Reis (2022), "The Burst of High Inflation in 2021–22: How and Why Did We Get Here?" working paper. Return to text</w:t>
      </w:r>
    </w:p>
    <w:p>
      <w:pPr>
        <w:ind w:firstLine="200"/>
        <w:jc w:val="both"/>
      </w:pPr>
      <w:r>
        <w:t>10. As of September 2022, the monthly caps on the runoff of Treasury securities and mortgage-backed securities are $60 billion and $35 billion per month, as compared with $30 billion and $20 billion, respectively, from 2017 to 2019. Return to text</w:t>
      </w:r>
    </w:p>
    <w:p>
      <w:pPr>
        <w:ind w:firstLine="200"/>
        <w:jc w:val="both"/>
      </w:pPr>
      <w:r>
        <w:t>View speech charts and figures</w:t>
        <w:br/>
        <w:br/>
        <w:br/>
        <w:t>Accessible Version</w:t>
      </w:r>
    </w:p>
    <w:p/>
    <w:p/>
    <w:p/>
    <w:p>
      <w:pPr>
        <w:jc w:val="left"/>
      </w:pPr>
      <w:r>
        <w:rPr>
          <w:b/>
        </w:rPr>
        <w:t>Url:</w:t>
      </w:r>
      <w:hyperlink r:id="rId9">
        <w:r>
          <w:rPr>
            <w:color w:val="0000FF"/>
            <w:u w:val="single"/>
          </w:rPr>
          <w:t>https://www.federalreserve.gov/newsevents/speech/brainard20220907a.htm</w:t>
        </w:r>
      </w:hyperlink>
    </w:p>
    <w:p>
      <w:pPr>
        <w:jc w:val="left"/>
      </w:pPr>
      <w:r>
        <w:rPr>
          <w:b/>
        </w:rPr>
        <w:t>PDF:</w:t>
      </w:r>
      <w:hyperlink r:id="rId10">
        <w:r>
          <w:rPr>
            <w:color w:val="0000FF"/>
            <w:u w:val="single"/>
          </w:rPr>
          <w:t>https://www.federalreserve.gov/newsevents/speech/files/brainard20220907a.pdf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07a.htm" TargetMode="External"/><Relationship Id="rId10" Type="http://schemas.openxmlformats.org/officeDocument/2006/relationships/hyperlink" Target="https://www.federalreserve.gov/newsevents/speech/files/brainard2022090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