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Financial Stability Considerations for Monetary Policy in a High-Inflation Environment</w:t>
      </w:r>
    </w:p>
    <w:p>
      <w:r>
        <w:t>Author:Vice Chair Lael Brainard</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r>
    </w:p>
    <w:p>
      <w:pPr>
        <w:ind w:firstLine="200"/>
      </w:pPr>
      <w: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r>
    </w:p>
    <w:p>
      <w:pPr>
        <w:ind w:firstLine="200"/>
      </w:pPr>
      <w: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r>
    </w:p>
    <w:p>
      <w:pPr>
        <w:ind w:firstLine="200"/>
      </w:pPr>
      <w: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r>
    </w:p>
    <w:p>
      <w:pPr>
        <w:ind w:firstLine="200"/>
      </w:pPr>
      <w: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r>
    </w:p>
    <w:p>
      <w:pPr>
        <w:ind w:firstLine="200"/>
      </w:pPr>
      <w: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r>
    </w:p>
    <w:p>
      <w:pPr>
        <w:ind w:firstLine="200"/>
      </w:pPr>
      <w: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r>
    </w:p>
    <w:p>
      <w:pPr>
        <w:ind w:firstLine="200"/>
      </w:pPr>
      <w: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r>
    </w:p>
    <w:p>
      <w:pPr>
        <w:ind w:firstLine="200"/>
      </w:pPr>
      <w: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r>
    </w:p>
    <w:p>
      <w:pPr>
        <w:ind w:firstLine="200"/>
      </w:pPr>
      <w: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r>
    </w:p>
    <w:p>
      <w:pPr>
        <w:ind w:firstLine="200"/>
      </w:pPr>
      <w: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r>
    </w:p>
    <w:p>
      <w:pPr>
        <w:ind w:firstLine="200"/>
      </w:pPr>
      <w: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r>
    </w:p>
    <w:p>
      <w:pPr>
        <w:ind w:firstLine="200"/>
      </w:pPr>
      <w: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r>
    </w:p>
    <w:p>
      <w:pPr>
        <w:ind w:firstLine="200"/>
      </w:pPr>
      <w: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r>
    </w:p>
    <w:p>
      <w:pPr>
        <w:ind w:firstLine="200"/>
      </w:pPr>
      <w: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r>
    </w:p>
    <w:p>
      <w:pPr>
        <w:ind w:firstLine="200"/>
      </w:pPr>
      <w: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r>
    </w:p>
    <w:p>
      <w:pPr>
        <w:ind w:firstLine="200"/>
      </w:pPr>
      <w: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r>
    </w:p>
    <w:p>
      <w:pPr>
        <w:ind w:firstLine="200"/>
      </w:pPr>
      <w: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r>
    </w:p>
    <w:p>
      <w:pPr>
        <w:ind w:firstLine="200"/>
      </w:pPr>
    </w:p>
    <w:p>
      <w:pPr>
        <w:ind w:firstLine="200"/>
      </w:pPr>
      <w:r>
        <w:t>1. I want to thank Kurt Lewis and Shaghil Ahmed of the Federal Reserve Board for their assistance on these remarks. These views are my own and do not necessarily reflect those of the Federal Reserve Board or the Federal Open Market Committee. Return to text</w:t>
      </w:r>
    </w:p>
    <w:p>
      <w:pPr>
        <w:ind w:firstLine="200"/>
      </w:pPr>
      <w: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r>
    </w:p>
    <w:p>
      <w:pPr>
        <w:ind w:firstLine="200"/>
      </w:pPr>
      <w: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r>
    </w:p>
    <w:p>
      <w:pPr>
        <w:ind w:firstLine="200"/>
      </w:pPr>
      <w: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r>
    </w:p>
    <w:p>
      <w:pPr>
        <w:ind w:firstLine="200"/>
      </w:pPr>
      <w: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r>
    </w:p>
    <w:p>
      <w:pPr>
        <w:ind w:firstLine="200"/>
      </w:pPr>
      <w: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r>
    </w:p>
    <w:p>
      <w:pPr>
        <w:ind w:firstLine="200"/>
      </w:pPr>
      <w:r>
        <w:t>7. See Tobias Adrian and Fernando Duarte (2016), "Financial Vulnerability and Monetary Policy (PDF)," Staff Reports 804 (New York: Federal Reserve Bank of New York, December; revised November 2020). Return to text</w:t>
      </w:r>
    </w:p>
    <w:p>
      <w:pPr>
        <w:ind w:firstLine="200"/>
      </w:pPr>
      <w: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r>
    </w:p>
    <w:p>
      <w:pPr>
        <w:ind w:firstLine="200"/>
      </w:pPr>
      <w:r>
        <w:t>9. See Lael Brainard (2022), "Variation in the Inflation Experiences of Households," speech delivered at the Spring 2022 Institute Research Conference, Opportunity and Inclusive Growth Institute, Federal Reserve Bank of Minneapolis, Minneapolis (via webcast), April 5. Return to text</w:t>
      </w:r>
    </w:p>
    <w:p>
      <w:pPr>
        <w:ind w:firstLine="200"/>
      </w:pPr>
      <w:r>
        <w:t>10. See, for example, the year-to-date improvement in the Federal Reserve Bank of New York's Global Supply Chain Pressure Index, available on the Bank's website at https://www.newyorkfed.org/research/policy/gscpi#/interactive. Return to text</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30a.pdf" TargetMode="External"/><Relationship Id="rId10"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