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 Bank Supervision and Regulation</w:t>
      </w:r>
    </w:p>
    <w:p>
      <w:r>
        <w:t>Author:Governor Michelle W. Bowman</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p>
    <w:p>
      <w:pPr>
        <w:ind w:firstLine="200"/>
      </w:pPr>
      <w: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r>
    </w:p>
    <w:p>
      <w:pPr>
        <w:ind w:firstLine="200"/>
      </w:pPr>
      <w: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r>
    </w:p>
    <w:p>
      <w:pPr>
        <w:ind w:firstLine="200"/>
      </w:pPr>
      <w: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r>
    </w:p>
    <w:p>
      <w:pPr>
        <w:ind w:firstLine="200"/>
      </w:pPr>
      <w: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r>
    </w:p>
    <w:p>
      <w:pPr>
        <w:ind w:firstLine="200"/>
      </w:pPr>
      <w: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r>
    </w:p>
    <w:p>
      <w:pPr>
        <w:ind w:firstLine="200"/>
      </w:pPr>
      <w: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r>
    </w:p>
    <w:p>
      <w:pPr>
        <w:ind w:firstLine="200"/>
      </w:pPr>
      <w: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r>
    </w:p>
    <w:p>
      <w:pPr>
        <w:ind w:firstLine="200"/>
      </w:pPr>
      <w: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r>
    </w:p>
    <w:p>
      <w:pPr>
        <w:ind w:firstLine="200"/>
      </w:pPr>
      <w: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r>
    </w:p>
    <w:p>
      <w:pPr>
        <w:ind w:firstLine="200"/>
      </w:pPr>
      <w:r>
        <w:t>Collectively, these principles guide my thinking about the future of supervision and regulation. With that framework in mind, I would like to turn to some critical issues that are relevant to large banks.</w:t>
      </w:r>
    </w:p>
    <w:p>
      <w:pPr>
        <w:ind w:firstLine="200"/>
      </w:pPr>
      <w:r>
        <w:t>Stress Testing</w:t>
      </w:r>
    </w:p>
    <w:p>
      <w:pPr>
        <w:ind w:firstLine="200"/>
      </w:pPr>
      <w: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r>
    </w:p>
    <w:p>
      <w:pPr>
        <w:ind w:firstLine="200"/>
      </w:pPr>
      <w: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r>
    </w:p>
    <w:p>
      <w:pPr>
        <w:ind w:firstLine="200"/>
      </w:pPr>
      <w: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r>
    </w:p>
    <w:p>
      <w:pPr>
        <w:ind w:firstLine="200"/>
      </w:pPr>
      <w:r>
        <w:t>As the stress testing framework continues to evolve over time, we should take into account what we learn from past tests, feedback from the public and the banks themselves, and ensure that the test evolves in a way that improves consistency and fairness over time.</w:t>
      </w:r>
    </w:p>
    <w:p>
      <w:pPr>
        <w:ind w:firstLine="200"/>
      </w:pPr>
      <w:r>
        <w:t>Capital</w:t>
      </w:r>
    </w:p>
    <w:p>
      <w:pPr>
        <w:ind w:firstLine="200"/>
      </w:pPr>
      <w: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r>
    </w:p>
    <w:p>
      <w:pPr>
        <w:ind w:firstLine="200"/>
      </w:pPr>
      <w: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r>
    </w:p>
    <w:p>
      <w:pPr>
        <w:ind w:firstLine="200"/>
      </w:pPr>
      <w: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r>
    </w:p>
    <w:p>
      <w:pPr>
        <w:ind w:firstLine="200"/>
      </w:pPr>
      <w: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r>
    </w:p>
    <w:p>
      <w:pPr>
        <w:ind w:firstLine="200"/>
      </w:pPr>
      <w: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r>
    </w:p>
    <w:p>
      <w:pPr>
        <w:ind w:firstLine="200"/>
      </w:pPr>
      <w: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r>
    </w:p>
    <w:p>
      <w:pPr>
        <w:ind w:firstLine="200"/>
      </w:pPr>
      <w:r>
        <w:t>Bank Mergers and Acquisitions</w:t>
      </w:r>
    </w:p>
    <w:p>
      <w:pPr>
        <w:ind w:firstLine="200"/>
      </w:pPr>
      <w:r>
        <w:t>I now want to turn to the review of bank mergers and acquisitions, specifically to discuss how the need for transparency, and to pursue legitimate prudential purposes, should guide our analysis of banking transactions under the established statutory framework.</w:t>
      </w:r>
    </w:p>
    <w:p>
      <w:pPr>
        <w:ind w:firstLine="200"/>
      </w:pPr>
      <w: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r>
    </w:p>
    <w:p>
      <w:pPr>
        <w:ind w:firstLine="200"/>
      </w:pPr>
      <w: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r>
    </w:p>
    <w:p>
      <w:pPr>
        <w:ind w:firstLine="200"/>
      </w:pPr>
      <w: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r>
    </w:p>
    <w:p>
      <w:pPr>
        <w:ind w:firstLine="200"/>
      </w:pPr>
      <w:r>
        <w:t>Resolution</w:t>
      </w:r>
    </w:p>
    <w:p>
      <w:pPr>
        <w:ind w:firstLine="200"/>
      </w:pPr>
      <w: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r>
    </w:p>
    <w:p>
      <w:pPr>
        <w:ind w:firstLine="200"/>
      </w:pPr>
      <w: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r>
    </w:p>
    <w:p>
      <w:pPr>
        <w:ind w:firstLine="200"/>
      </w:pPr>
      <w: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r>
    </w:p>
    <w:p>
      <w:pPr>
        <w:ind w:firstLine="200"/>
      </w:pPr>
      <w:r>
        <w:t>Other Areas</w:t>
      </w:r>
    </w:p>
    <w:p>
      <w:pPr>
        <w:ind w:firstLine="200"/>
      </w:pPr>
      <w: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r>
    </w:p>
    <w:p>
      <w:pPr>
        <w:ind w:firstLine="200"/>
      </w:pPr>
      <w: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r>
    </w:p>
    <w:p>
      <w:pPr>
        <w:ind w:firstLine="200"/>
      </w:pPr>
      <w: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r>
    </w:p>
    <w:p>
      <w:pPr>
        <w:ind w:firstLine="200"/>
      </w:pPr>
      <w: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r>
    </w:p>
    <w:p>
      <w:pPr>
        <w:ind w:firstLine="200"/>
      </w:pPr>
      <w: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r>
    </w:p>
    <w:p>
      <w:pPr>
        <w:ind w:firstLine="200"/>
      </w:pPr>
      <w: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r>
    </w:p>
    <w:p>
      <w:pPr>
        <w:ind w:firstLine="200"/>
      </w:pPr>
      <w: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r>
    </w:p>
    <w:p>
      <w:pPr>
        <w:ind w:firstLine="200"/>
      </w:pPr>
    </w:p>
    <w:p>
      <w:pPr>
        <w:ind w:firstLine="200"/>
      </w:pPr>
      <w:r>
        <w:t>1. See Michelle Bowman, "My Perspective on Bank Regulation and Supervision" (speech at the Conference for Community Bankers sponsored by the American Bankers Association, February 16, 2021). Return to text</w:t>
      </w:r>
    </w:p>
    <w:p>
      <w:pPr>
        <w:ind w:firstLine="200"/>
      </w:pPr>
      <w:r>
        <w:t>2. See 12 U.S.C. §§ 1828(c)(5), (11); 1842(c). Return to text</w:t>
      </w:r>
    </w:p>
    <w:p>
      <w:pPr>
        <w:ind w:firstLine="200"/>
      </w:pPr>
      <w:r>
        <w:t>3. See Michelle W. Bowman, "The New Landscape for Banking Competition" (speech at the 2022 Community Banking Research Conference, St. Louis, MO, September 28, 2022). Return to text</w:t>
      </w:r>
    </w:p>
    <w:p>
      <w:pPr>
        <w:ind w:firstLine="200"/>
      </w:pPr>
      <w:r>
        <w:t>4. See 12 U.S.C. § 5365. Return to text</w:t>
      </w:r>
    </w:p>
    <w:p>
      <w:pPr>
        <w:ind w:firstLine="200"/>
      </w:pPr>
      <w:r>
        <w:t>5. 12 C.F.R. pt. 252, subpart G. Return to text</w:t>
      </w: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30a.pdf" TargetMode="External"/><Relationship Id="rId10"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