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Consumers and Guaranteed Asset Protection (GAP Protection) on Vehicle Financing Contracts A First Look</w:t>
      </w:r>
    </w:p>
    <w:p>
      <w:r>
        <w:t>Author:Thomas A. Durkin, Gregory Elliehausen, and Thomas A. Miller, Jr.</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r>
        <w:br/>
        <w:br/>
        <w:br/>
        <w:t xml:space="preserve">                        September 2022</w:t>
        <w:br/>
        <w:br/>
        <w:t xml:space="preserve">                        </w:t>
        <w:br/>
        <w:br/>
        <w:t xml:space="preserve">                    </w:t>
        <w:br/>
        <w:t>Consumers and Guaranteed Asset Protection (GAP Protection) on Vehicle Financing Contracts: A First Look</w:t>
        <w:br/>
        <w:t>Thomas A. Durkin, Gregory Elliehausen, and Thomas A. Miller, Jr.</w:t>
        <w:br/>
        <w:t>Abstract: 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br/>
        <w:t>DOI: https://doi.org/10.17016/FEDS.2022.062</w:t>
        <w:br/>
        <w:br/>
        <w:t>PDF:</w:t>
        <w:br/>
        <w:t>Full Paper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2pap.pdf" TargetMode="External"/><Relationship Id="rId10" Type="http://schemas.openxmlformats.org/officeDocument/2006/relationships/hyperlink" Target="https://www.federalreserve.gov/econres/feds/consumers-and-guaranteed-asset-protection-on-vehicle-financing-con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