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coming long-run slowdown in corporate profit growth and stock returns</w:t>
      </w:r>
    </w:p>
    <w:p>
      <w:pPr>
        <w:jc w:val="center"/>
      </w:pPr>
      <w:r>
        <w:rPr>
          <w:b/>
        </w:rPr>
        <w:t>Author:</w:t>
      </w:r>
      <w:r>
        <w:t>Michael Smolyansky1</w:t>
      </w:r>
    </w:p>
    <w:p>
      <w:pPr>
        <w:ind w:firstLine="240"/>
        <w:jc w:val="both"/>
      </w:pPr>
      <w: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r>
    </w:p>
    <w:p>
      <w:pPr>
        <w:ind w:firstLine="240"/>
        <w:jc w:val="both"/>
      </w:pPr>
      <w: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r>
    </w:p>
    <w:p>
      <w:pPr>
        <w:ind w:firstLine="240"/>
        <w:jc w:val="both"/>
      </w:pPr>
      <w: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r>
    </w:p>
    <w:p>
      <w:pPr>
        <w:ind w:firstLine="240"/>
        <w:jc w:val="both"/>
      </w:pPr>
      <w: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r>
    </w:p>
    <w:p>
      <w:pPr>
        <w:jc w:val="both"/>
      </w:pPr>
      <w:r>
        <w:rPr>
          <w:b/>
        </w:rPr>
        <w:t>The longer-run outlook for corporate profits and stock returns</w:t>
      </w:r>
    </w:p>
    <w:p>
      <w:pPr>
        <w:ind w:firstLine="240"/>
        <w:jc w:val="both"/>
      </w:pPr>
      <w: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r>
    </w:p>
    <w:p>
      <w:pPr>
        <w:ind w:firstLine="240"/>
        <w:jc w:val="both"/>
      </w:pPr>
      <w:r>
        <w:t>Growth in net income can only come from the following sources: (1) interest expenses can decline relative to EBIT, which in turn can only be driven by lower interest rates or by reductions in leverage; (2) effective tax rates can decline; or (3) EBIT can grow.11</w:t>
      </w:r>
    </w:p>
    <w:p>
      <w:pPr>
        <w:ind w:firstLine="240"/>
        <w:jc w:val="both"/>
      </w:pPr>
      <w: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r>
    </w:p>
    <w:p>
      <w:pPr>
        <w:ind w:firstLine="240"/>
        <w:jc w:val="both"/>
      </w:pPr>
      <w: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r>
    </w:p>
    <w:p>
      <w:pPr>
        <w:ind w:firstLine="240"/>
        <w:jc w:val="both"/>
      </w:pPr>
      <w: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r>
    </w:p>
    <w:p>
      <w:pPr>
        <w:ind w:firstLine="240"/>
        <w:jc w:val="both"/>
      </w:pPr>
      <w: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r>
    </w:p>
    <w:p>
      <w:pPr>
        <w:ind w:firstLine="240"/>
        <w:jc w:val="both"/>
      </w:pPr>
      <w:r>
        <w:t>Taken all together, the above analysis implies that a reasonable forecast for the longer-run real growth rate of corporate profits is probably in the range of about 3 to 3.5 percent, but it might be even lower.</w:t>
      </w:r>
    </w:p>
    <w:p>
      <w:pPr>
        <w:ind w:firstLine="240"/>
        <w:jc w:val="both"/>
      </w:pPr>
      <w: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r>
    </w:p>
    <w:p>
      <w:pPr>
        <w:ind w:firstLine="240"/>
        <w:jc w:val="both"/>
      </w:pPr>
      <w: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r>
    </w:p>
    <w:p>
      <w:pPr>
        <w:ind w:firstLine="240"/>
        <w:jc w:val="both"/>
      </w:pPr>
      <w: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r>
    </w:p>
    <w:p>
      <w:pPr>
        <w:ind w:firstLine="240"/>
        <w:jc w:val="both"/>
      </w:pPr>
      <w: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r>
    </w:p>
    <w:p>
      <w:pPr>
        <w:ind w:firstLine="240"/>
        <w:jc w:val="both"/>
      </w:pPr>
      <w:r>
        <w:t>The overall conclusion, then, is that—with the expected slowdown profit growth and the associated contraction in P/E multiples—real longer-run stock returns are likely to be notably lower than in the past.</w:t>
      </w:r>
    </w:p>
    <w:p>
      <w:pPr>
        <w:jc w:val="both"/>
      </w:pPr>
      <w:r>
        <w:rPr>
          <w:b/>
        </w:rPr>
      </w:r>
    </w:p>
    <w:p/>
    <w:p>
      <w:pPr>
        <w:jc w:val="left"/>
      </w:pPr>
      <w:r>
        <w:rPr>
          <w:b/>
        </w:rPr>
        <w:t>Url:</w:t>
        <w:br/>
      </w:r>
      <w:hyperlink r:id="rId9">
        <w:r>
          <w:rPr>
            <w:color w:val="0000FF"/>
            <w:u w:val="single"/>
          </w:rPr>
          <w:t>https://www.federalreserve.gov/econres/notes/feds-notes/the-coming-long-run-slowdown-in-corporate-profit-growth-and-stock-returns-20220906.html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