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coming long-run slowdown in corporate profit growth and stock returns</w:t>
      </w:r>
    </w:p>
    <w:p>
      <w:pPr>
        <w:jc w:val="center"/>
      </w:pPr>
      <w:r>
        <w:t>Author:Michael Smolyansky1</w:t>
      </w:r>
    </w:p>
    <w:p>
      <w:pPr>
        <w:ind w:firstLine="200"/>
        <w:jc w:val="both"/>
      </w:pPr>
      <w:r>
        <w:t>September 06, 2022</w:t>
      </w:r>
    </w:p>
    <w:p>
      <w:pPr>
        <w:jc w:val="both"/>
      </w:pPr>
      <w:r>
        <w:rPr>
          <w:b/>
        </w:rPr>
        <w:t>The coming long-run slowdown in corporate profit growth and stock returns</w:t>
      </w:r>
    </w:p>
    <w:p>
      <w:pPr>
        <w:ind w:firstLine="200"/>
        <w:jc w:val="both"/>
      </w:pPr>
      <w:r>
        <w:t>Michael Smolyansky1</w:t>
      </w:r>
    </w:p>
    <w:p>
      <w:pPr>
        <w:ind w:firstLine="200"/>
        <w:jc w:val="both"/>
      </w:pPr>
      <w: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r>
    </w:p>
    <w:p>
      <w:pPr>
        <w:ind w:firstLine="200"/>
        <w:jc w:val="both"/>
      </w:pPr>
      <w: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r>
    </w:p>
    <w:p>
      <w:pPr>
        <w:ind w:firstLine="200"/>
        <w:jc w:val="both"/>
      </w:pPr>
      <w: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r>
    </w:p>
    <w:p>
      <w:pPr>
        <w:ind w:firstLine="200"/>
        <w:jc w:val="both"/>
      </w:pPr>
      <w: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r>
    </w:p>
    <w:p>
      <w:pPr>
        <w:jc w:val="both"/>
      </w:pPr>
      <w:r>
        <w:rPr>
          <w:b/>
        </w:rPr>
        <w:t>The longer-run outlook for corporate profits and stock returns</w:t>
      </w:r>
    </w:p>
    <w:p>
      <w:pPr>
        <w:ind w:firstLine="200"/>
        <w:jc w:val="both"/>
      </w:pPr>
      <w: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r>
    </w:p>
    <w:p>
      <w:pPr>
        <w:ind w:firstLine="200"/>
        <w:jc w:val="both"/>
      </w:pPr>
      <w:r>
        <w:t>Growth in net income can only come from the following sources: (1) interest expenses can decline relative to EBIT, which in turn can only be driven by lower interest rates or by reductions in leverage; (2) effective tax rates can decline; or (3) EBIT can grow.11</w:t>
      </w:r>
    </w:p>
    <w:p>
      <w:pPr>
        <w:ind w:firstLine="200"/>
        <w:jc w:val="both"/>
      </w:pPr>
      <w: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r>
    </w:p>
    <w:p>
      <w:pPr>
        <w:ind w:firstLine="200"/>
        <w:jc w:val="both"/>
      </w:pPr>
      <w: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r>
    </w:p>
    <w:p>
      <w:pPr>
        <w:ind w:firstLine="200"/>
        <w:jc w:val="both"/>
      </w:pPr>
      <w: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r>
    </w:p>
    <w:p>
      <w:pPr>
        <w:ind w:firstLine="200"/>
        <w:jc w:val="both"/>
      </w:pPr>
      <w: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r>
    </w:p>
    <w:p>
      <w:pPr>
        <w:ind w:firstLine="200"/>
        <w:jc w:val="both"/>
      </w:pPr>
      <w:r>
        <w:t>Taken all together, the above analysis implies that a reasonable forecast for the longer-run real growth rate of corporate profits is probably in the range of about 3 to 3.5 percent, but it might be even lower.</w:t>
      </w:r>
    </w:p>
    <w:p>
      <w:pPr>
        <w:ind w:firstLine="200"/>
        <w:jc w:val="both"/>
      </w:pPr>
      <w: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r>
    </w:p>
    <w:p>
      <w:pPr>
        <w:ind w:firstLine="200"/>
        <w:jc w:val="both"/>
      </w:pPr>
      <w: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r>
    </w:p>
    <w:p>
      <w:pPr>
        <w:ind w:firstLine="200"/>
        <w:jc w:val="both"/>
      </w:pPr>
      <w: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r>
    </w:p>
    <w:p>
      <w:pPr>
        <w:ind w:firstLine="200"/>
        <w:jc w:val="both"/>
      </w:pPr>
      <w: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r>
    </w:p>
    <w:p>
      <w:pPr>
        <w:ind w:firstLine="200"/>
        <w:jc w:val="both"/>
      </w:pPr>
      <w:r>
        <w:t>The overall conclusion, then, is that—with the expected slowdown profit growth and the associated contraction in P/E multiples—real longer-run stock returns are likely to be notably lower than in the past.</w:t>
      </w:r>
    </w:p>
    <w:p>
      <w:pPr>
        <w:jc w:val="both"/>
      </w:pPr>
      <w:r>
        <w:rPr>
          <w:b/>
        </w:rPr>
      </w:r>
    </w:p>
    <w:p>
      <w:pPr>
        <w:ind w:firstLine="200"/>
        <w:jc w:val="both"/>
      </w:pPr>
      <w:r>
        <w:t>1. I thank Andrew Chen, Emilio Osambela, Dino Palazzo, Francisco Palomino, Michael Palumbo, Steve Sharpe, Nitish Sinha, and Gustavo Suarez for very helpful comments and suggestions. Return to text</w:t>
        <w:br/>
        <w:t>2. I exclude financial firms because interest expenses are a primary input for them, and their leverage fell dramatically in response to regulatory reforms following the Global Financial Crisis. Data on S&amp;P 500 historical index constituents is from S&amp;P Dow Jones Indices. These data have the GVKEY field populated going back to 2002:Q1, thus allowing a merge with Compustat. From the latter, I obtain quarterly firm-level data, which I then aggregate. Return to text</w:t>
        <w:br/>
        <w:t>3. I take the 4-quarter moving average of each indicator, meaning that 2002:Q4 is the first datapoint. I index to 2004:Q4 to avoid exaggerated results due to the fact that profits were near their trough early in the sample period following the 2001-recession and September 11 terrorist attacks. Return to text</w:t>
        <w:br/>
        <w:t>4. For comparison, the real annualized return on the overall S&amp;P 500 index over this period was 5.7 percent. Return to text</w:t>
        <w:br/>
        <w:t>5. Since interest expenses are tax deductible, it makes sense to focus on the combined effect. Also, it is worth noting that net income is equal to operating income after depreciation minus interest and tax expenses plus special items and nonoperating income minus minority interest. Here, I have added back interest and tax expenses to net income to arrive at a measure of EBIT. If EBIT is instead measured as operating income after depreciation, then the resulting growth rate is even lower, at 3.3 percent. Other analogous measures, like operating income before depreciation (EBITDA) and cash flow from operations, also grew at 3.3 to 3.4 percent. Return to text</w:t>
        <w:br/>
        <w:t>6. The divergence between net income and EBIT is just as notable if one ends the series in 2019:Q4, prior to the onset of the COVID-19 pandemic. Over this period, net income grew at a real rate of 3.8 percent, while EBIT grew at a real rate of 2.1 percent. Return to text</w:t>
        <w:br/>
        <w:t>7. This assumes that at least part of the observed decline in interest rates was due to discretionarily accommodative monetary policy and cannot be entirely attributed to purely structural factors, which seems reasonable. Return to text</w:t>
        <w:br/>
        <w:t>8. Although they have similar average growth rates, S&amp;P 500 nonfinancial sales growth is more volatile than GDP growth. Return to text</w:t>
        <w:br/>
        <w:t>9. I calculate that, from 2004:Q4 to 2022:Q1, real nonfarm business sector labor productivity (output per hour) grew at a rate of 1.4 percent, while over the same period real hourly compensation grew at 0.9 percent. Return to text</w:t>
        <w:br/>
        <w:t>10. An assumption here is that labor productivity and wage rates for S&amp;P 500 nonfinancial firms grew at a similar pace to the overall nonfarm business sector. Return to text</w:t>
        <w:br/>
        <w:t>11. I.e., $${Net\ Income} = {EBIT} - {Interest\ Expense} - {Tax\ Expense}$$.</w:t>
        <w:br/>
        <w:t xml:space="preserve">  So, $${Net\ Income} = {EBIT} \times (1 - {Interest\ Expense}/{EBIT}) \times (1 - {Effective\ Corporate\ Tax\ Rate})$$. Return to text</w:t>
      </w:r>
    </w:p>
    <w:p>
      <w:pPr>
        <w:ind w:firstLine="200"/>
        <w:jc w:val="both"/>
      </w:pPr>
      <w:r>
        <w:t>Please cite this note as:</w:t>
        <w:br/>
        <w:t>Smolyansky, Michael (2022). "The coming long-run slowdown in corporate profit growth and stock returns," FEDS Notes. Washington: Board of Governors of the Federal Reserve System, September 06, 2022, https://doi.org/10.17016/2380-7172.3167.</w:t>
      </w:r>
    </w:p>
    <w:p/>
    <w:p/>
    <w:p/>
    <w:p>
      <w:pPr>
        <w:jc w:val="left"/>
      </w:pPr>
      <w:r>
        <w:rPr>
          <w:b/>
        </w:rPr>
        <w:t>Url:</w:t>
      </w:r>
      <w:hyperlink r:id="rId9">
        <w:r>
          <w:rPr>
            <w:color w:val="0000FF"/>
            <w:u w:val="single"/>
          </w:rPr>
          <w:t>https://www.federalreserve.gov/econres/notes/feds-notes/the-coming-long-run-slowdown-in-corporate-profit-growth-and-stock-returns-20220906.html</w:t>
        </w:r>
      </w:hyperlink>
    </w:p>
    <w:p>
      <w:pPr>
        <w:jc w:val="left"/>
      </w:pPr>
      <w:r>
        <w:rPr>
          <w:b/>
        </w:rPr>
        <w:t>PDF:</w:t>
      </w:r>
      <w:r>
        <w:t>NA</w:t>
      </w:r>
    </w:p>
    <w:p>
      <w:pPr>
        <w:jc w:val="left"/>
      </w:pPr>
      <w:r>
        <w:rPr>
          <w:b/>
        </w:rPr>
        <w:t>From:</w:t>
      </w:r>
      <w:r>
        <w:t>FEDSNOTES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