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Fed - The impact of risk cycles on business cycles a historical view</w:t>
      </w:r>
    </w:p>
    <w:p>
      <w:pPr>
        <w:jc w:val="center"/>
      </w:pPr>
      <w:r>
        <w:rPr>
          <w:b/>
        </w:rPr>
        <w:t>Author:</w:t>
      </w:r>
      <w:r>
        <w:t>Jon Danielsson, Marcela Valenzuela, and Ilknur Zer</w:t>
      </w:r>
    </w:p>
    <w:p>
      <w:pPr>
        <w:ind w:firstLine="240"/>
        <w:jc w:val="both"/>
      </w:pPr>
      <w:r>
        <w:t>We investigate the effects of financial risk cycles on business cycles, using a panel spanning 73 countries since 1900. Agents use a Bayesian learning model to form their beliefs on risk. We construct a proxy of these beliefs and show that perceived low risk encourages risk-taking, augmenting growth at the cost of accumulating financial vulnerabilities, and therefore, a reversal in growth follows. The reversal is particularly pronounced when the low-risk environment persists and credit growth is excessive. Global-risk cycles have a stronger effect on growth than local-risk cycles via their impact on capital flows, investment, and debt-issuer quality.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https://www.federalreserve.gov/econres/ifdp/the-impact-of-risk-cycles-on-business-cycles-a-historical-view.htm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