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Cognitive Imprecision and Stake-Dependent Risk Attitudes</w:t>
      </w:r>
    </w:p>
    <w:p>
      <w:pPr>
        <w:jc w:val="center"/>
      </w:pPr>
      <w:r>
        <w:rPr>
          <w:b/>
        </w:rPr>
        <w:t>Author:</w:t>
      </w:r>
      <w:r>
        <w:t>Mel Win Khaw, Ziang Li, Michael Woodford</w:t>
      </w:r>
    </w:p>
    <w:p>
      <w:pPr>
        <w:ind w:firstLine="240"/>
        <w:jc w:val="both"/>
      </w:pPr>
      <w: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r>
    </w:p>
    <w:p/>
    <w:p>
      <w:pPr>
        <w:jc w:val="left"/>
      </w:pPr>
      <w:r>
        <w:rPr>
          <w:b/>
        </w:rPr>
        <w:t>Url:</w:t>
        <w:br/>
      </w:r>
      <w:hyperlink r:id="rId9">
        <w:r>
          <w:rPr>
            <w:color w:val="0000FF"/>
            <w:u w:val="single"/>
          </w:rPr>
          <w:t>https://www.nber.org/papers/w30417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