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Clash Incompatible Reputation Mechanisms and Intergroup Conflict</w:t>
      </w:r>
    </w:p>
    <w:p>
      <w:pPr>
        <w:jc w:val="center"/>
      </w:pPr>
      <w:r>
        <w:rPr>
          <w:b/>
        </w:rPr>
        <w:t>Author:</w:t>
      </w:r>
      <w:r>
        <w:t>Vasiliki Fouka, Alain Schläpfer</w:t>
      </w:r>
    </w:p>
    <w:p>
      <w:pPr>
        <w:ind w:firstLine="240"/>
        <w:jc w:val="both"/>
      </w:pPr>
      <w:r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https://www.nber.org/papers/w30517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