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Distinguishing Causes of Neighborhood Racial Change A Nearest Neighbor Design</w:t>
      </w:r>
    </w:p>
    <w:p>
      <w:pPr>
        <w:jc w:val="center"/>
      </w:pPr>
      <w:r>
        <w:t>Author:Patrick Bayer, Marcus D. Casey, W. Ben McCartney, John Orellana-Li, Calvin S. Zhang</w:t>
      </w:r>
    </w:p>
    <w:p>
      <w:pPr>
        <w:ind w:firstLine="200"/>
        <w:jc w:val="both"/>
      </w:pPr>
      <w:r>
        <w:t>Whether contemporary households consider the race of their neighbors when choosing a neighborhood is controversial. We study neighborhood choice using a novel research design that contrasts the move rate of homeowners who receive a new different-race neighbor nearby to that of homeowners who live further away on the same block. This approach isolates a component of the household move decision directly attributable to their neighbors’ identities. Both Black and white homeowners are more likely to move after receiving a new different-race neighbor in their immediate vicinity. We discuss heterogeneity in this result and implications for understanding modern neighborhood racial change.</w:t>
      </w:r>
    </w:p>
    <w:p/>
    <w:p/>
    <w:p/>
    <w:p>
      <w:pPr>
        <w:jc w:val="left"/>
      </w:pPr>
      <w:r>
        <w:rPr>
          <w:b/>
        </w:rPr>
        <w:t>Url:</w:t>
      </w:r>
      <w:hyperlink r:id="rId9">
        <w:r>
          <w:rPr>
            <w:color w:val="0000FF"/>
            <w:u w:val="single"/>
          </w:rPr>
          <w:t>https://www.nber.org/papers/w30487</w:t>
        </w:r>
      </w:hyperlink>
    </w:p>
    <w:p>
      <w:pPr>
        <w:jc w:val="left"/>
      </w:pPr>
      <w:r>
        <w:rPr>
          <w:b/>
        </w:rPr>
        <w:t>PDF:</w:t>
      </w:r>
      <w:hyperlink r:id="rId10">
        <w:r>
          <w:rPr>
            <w:color w:val="0000FF"/>
            <w:u w:val="single"/>
          </w:rPr>
          <w:t>https://www.nber.org/system/files/working_papers/w30487/w30487.pdf</w:t>
        </w:r>
      </w:hyperlink>
    </w:p>
    <w:p>
      <w:pPr>
        <w:jc w:val="left"/>
      </w:pPr>
      <w:r>
        <w:rPr>
          <w:b/>
        </w:rPr>
        <w:t>From:</w:t>
      </w:r>
      <w:r>
        <w:t>NEBR - working_paper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487" TargetMode="External"/><Relationship Id="rId10" Type="http://schemas.openxmlformats.org/officeDocument/2006/relationships/hyperlink" Target="https://www.nber.org/system/files/working_papers/w30487/w30487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