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Excess Death Rates for Republicans and Democrats During the COVID-19 Pandemic</w:t>
      </w:r>
    </w:p>
    <w:p>
      <w:pPr>
        <w:jc w:val="center"/>
      </w:pPr>
      <w:r>
        <w:rPr>
          <w:b/>
        </w:rPr>
        <w:t>Author:</w:t>
      </w:r>
      <w:r>
        <w:t>Jacob Wallace, Paul Goldsmith-Pinkham, Jason L. Schwartz</w:t>
      </w:r>
    </w:p>
    <w:p>
      <w:pPr>
        <w:ind w:firstLine="240"/>
        <w:jc w:val="both"/>
      </w:pPr>
      <w: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r>
    </w:p>
    <w:p/>
    <w:p>
      <w:pPr>
        <w:jc w:val="left"/>
      </w:pPr>
      <w:r>
        <w:rPr>
          <w:b/>
        </w:rPr>
        <w:t>Url:</w:t>
        <w:br/>
      </w:r>
      <w:hyperlink r:id="rId9">
        <w:r>
          <w:rPr>
            <w:color w:val="0000FF"/>
            <w:u w:val="single"/>
          </w:rPr>
          <w:t>https://www.nber.org/papers/w30512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