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Expectations and the Neutrality of Interest Rates</w:t>
      </w:r>
    </w:p>
    <w:p>
      <w:pPr>
        <w:jc w:val="center"/>
      </w:pPr>
      <w:r>
        <w:rPr>
          <w:b/>
        </w:rPr>
        <w:t>Author:</w:t>
      </w:r>
      <w:r>
        <w:t>John H. Cochrane</w:t>
      </w:r>
    </w:p>
    <w:p>
      <w:pPr>
        <w:ind w:firstLine="240"/>
        <w:jc w:val="both"/>
      </w:pPr>
      <w:r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  <w:br/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  <w:br/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  <w:br/>
        <w:t>Much of this is contentious. The issues are crucial for policy: Can the Fed contain inflation without dramatically raising interest rates? Given the state of knowledge, a bit of humility is in order.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https://www.nber.org/papers/w30468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