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Fertility and the Education of African Parents and Children</w:t>
      </w:r>
    </w:p>
    <w:p>
      <w:pPr>
        <w:jc w:val="center"/>
      </w:pPr>
      <w:r>
        <w:rPr>
          <w:b/>
        </w:rPr>
        <w:t>Author:</w:t>
      </w:r>
      <w:r>
        <w:t>Tom Vogl</w:t>
      </w:r>
    </w:p>
    <w:p>
      <w:pPr>
        <w:ind w:firstLine="240"/>
        <w:jc w:val="both"/>
      </w:pPr>
      <w: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r>
    </w:p>
    <w:p/>
    <w:p>
      <w:pPr>
        <w:jc w:val="left"/>
      </w:pPr>
      <w:r>
        <w:rPr>
          <w:b/>
        </w:rPr>
        <w:t>Url:</w:t>
        <w:br/>
      </w:r>
      <w:hyperlink r:id="rId9">
        <w:r>
          <w:rPr>
            <w:color w:val="0000FF"/>
            <w:u w:val="single"/>
          </w:rPr>
          <w:t>https://www.nber.org/papers/w30474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