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Foreign Demand Shocks to Production Networks Firm Responses and Worker Impacts</w:t>
      </w:r>
    </w:p>
    <w:p>
      <w:pPr>
        <w:jc w:val="center"/>
      </w:pPr>
      <w:r>
        <w:rPr>
          <w:b/>
        </w:rPr>
        <w:t>Author:</w:t>
      </w:r>
      <w:r>
        <w:t>Emmanuel Dhyne, Ayumu Ken Kikkawa, Toshiaki Komatsu, Magne Mogstad, Felix Tintelnot</w:t>
      </w:r>
    </w:p>
    <w:p>
      <w:pPr>
        <w:ind w:firstLine="240"/>
        <w:jc w:val="both"/>
      </w:pPr>
      <w: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r>
    </w:p>
    <w:p/>
    <w:p>
      <w:pPr>
        <w:jc w:val="left"/>
      </w:pPr>
      <w:r>
        <w:rPr>
          <w:b/>
        </w:rPr>
        <w:t>Url:</w:t>
        <w:br/>
      </w:r>
      <w:hyperlink r:id="rId9">
        <w:r>
          <w:rPr>
            <w:color w:val="0000FF"/>
            <w:u w:val="single"/>
          </w:rPr>
          <w:t>https://www.nber.org/papers/w30447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