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Gender Gaps at the Academies</w:t>
      </w:r>
    </w:p>
    <w:p>
      <w:pPr>
        <w:jc w:val="center"/>
      </w:pPr>
      <w:r>
        <w:rPr>
          <w:b/>
        </w:rPr>
        <w:t>Author:</w:t>
      </w:r>
      <w:r>
        <w:t>David Card, Stefano DellaVigna, Patricia Funk, Nagore Iriberri</w:t>
      </w:r>
    </w:p>
    <w:p>
      <w:pPr>
        <w:ind w:firstLine="240"/>
        <w:jc w:val="both"/>
      </w:pPr>
      <w: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r>
    </w:p>
    <w:p/>
    <w:p>
      <w:pPr>
        <w:jc w:val="left"/>
      </w:pPr>
      <w:r>
        <w:rPr>
          <w:b/>
        </w:rPr>
        <w:t>Url:</w:t>
        <w:br/>
      </w:r>
      <w:hyperlink r:id="rId9">
        <w:r>
          <w:rPr>
            <w:color w:val="0000FF"/>
            <w:u w:val="single"/>
          </w:rPr>
          <w:t>https://www.nber.org/papers/w30510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