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Sourcing and Multinational Activity A Unified Approach</w:t>
      </w:r>
    </w:p>
    <w:p>
      <w:pPr>
        <w:jc w:val="center"/>
      </w:pPr>
      <w:r>
        <w:rPr>
          <w:b/>
        </w:rPr>
        <w:t>Author:</w:t>
      </w:r>
      <w:r>
        <w:t>Pol Antràs, Evgenii Fadeev, Teresa C. Fort, Felix Tintelnot</w:t>
      </w:r>
    </w:p>
    <w:p>
      <w:pPr>
        <w:ind w:firstLine="240"/>
        <w:jc w:val="both"/>
      </w:pPr>
      <w: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r>
    </w:p>
    <w:p/>
    <w:p>
      <w:pPr>
        <w:jc w:val="left"/>
      </w:pPr>
      <w:r>
        <w:rPr>
          <w:b/>
        </w:rPr>
        <w:t>Url:</w:t>
        <w:br/>
      </w:r>
      <w:hyperlink r:id="rId9">
        <w:r>
          <w:rPr>
            <w:color w:val="0000FF"/>
            <w:u w:val="single"/>
          </w:rPr>
          <w:t>https://www.nber.org/papers/w30450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