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Long-Run Trends in Long-Maturity Real Rates 1311-2021</w:t>
      </w:r>
    </w:p>
    <w:p>
      <w:pPr>
        <w:jc w:val="center"/>
      </w:pPr>
      <w:r>
        <w:rPr>
          <w:b/>
        </w:rPr>
        <w:t>Author:</w:t>
      </w:r>
      <w:r>
        <w:t>Kenneth S. Rogoff, Barbara Rossi, Paul Schmelzing</w:t>
      </w:r>
    </w:p>
    <w:p>
      <w:pPr>
        <w:ind w:firstLine="240"/>
        <w:jc w:val="both"/>
      </w:pPr>
      <w: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r>
    </w:p>
    <w:p/>
    <w:p>
      <w:pPr>
        <w:jc w:val="left"/>
      </w:pPr>
      <w:r>
        <w:rPr>
          <w:b/>
        </w:rPr>
        <w:t>Url:</w:t>
        <w:br/>
      </w:r>
      <w:hyperlink r:id="rId9">
        <w:r>
          <w:rPr>
            <w:color w:val="0000FF"/>
            <w:u w:val="single"/>
          </w:rPr>
          <w:t>https://www.nber.org/papers/w30475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