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Partial Identification of Personalized Treatment Response with Trial-reported Analyses of Binary Subgroups</w:t>
      </w:r>
    </w:p>
    <w:p>
      <w:pPr>
        <w:jc w:val="center"/>
      </w:pPr>
      <w:r>
        <w:rPr>
          <w:b/>
        </w:rPr>
        <w:t>Author:</w:t>
      </w:r>
      <w:r>
        <w:t>Sheyu Li, Valentyn Litvin, Charles F. Manski</w:t>
      </w:r>
    </w:p>
    <w:p>
      <w:pPr>
        <w:ind w:firstLine="240"/>
        <w:jc w:val="both"/>
      </w:pPr>
      <w: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r>
    </w:p>
    <w:p/>
    <w:p>
      <w:pPr>
        <w:jc w:val="left"/>
      </w:pPr>
      <w:r>
        <w:rPr>
          <w:b/>
        </w:rPr>
        <w:t>Url:</w:t>
        <w:br/>
      </w:r>
      <w:hyperlink r:id="rId9">
        <w:r>
          <w:rPr>
            <w:color w:val="0000FF"/>
            <w:u w:val="single"/>
          </w:rPr>
          <w:t>https://www.nber.org/papers/w30461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