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Place Effects and Geographic Inequality in Health at Birth</w:t>
      </w:r>
    </w:p>
    <w:p>
      <w:pPr>
        <w:jc w:val="center"/>
      </w:pPr>
      <w:r>
        <w:t>Author:Eric Chyn, Na'ama Shenhav</w:t>
      </w:r>
    </w:p>
    <w:p>
      <w:pPr>
        <w:ind w:firstLine="200"/>
        <w:jc w:val="both"/>
      </w:pPr>
      <w:r>
        <w:t>This paper uses birth records from California and mothers who move to quantify the absolute and relative importance of birth location in early-life health. Using a model that includes mother and location fixed effects, we find that moving from a below- to an above-median birth weight location leads to a 19-gram increase in average birth weight. These causal place effects explain 16 percent of geographic variation in birth weight, with family-specific factors accounting for the remaining 84 percent. Place effects are more influential for children of non-college-educated mothers, and are most strongly correlated with local levels of pollution. The improvement in birth weight from moving to a higher-quality area compares favorably to policies that target maternal health, and could have a small, lasting effect on long-run outcomes.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https://www.nber.org/papers/w30424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https://www.nber.org/system/files/working_papers/w30424/w30424.pdf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24" TargetMode="External"/><Relationship Id="rId10" Type="http://schemas.openxmlformats.org/officeDocument/2006/relationships/hyperlink" Target="https://www.nber.org/system/files/working_papers/w30424/w304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