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Quantifying and Explaining the Decline in Public-School Teacher Retirement Benefits</w:t>
      </w:r>
    </w:p>
    <w:p>
      <w:pPr>
        <w:jc w:val="center"/>
      </w:pPr>
      <w:r>
        <w:rPr>
          <w:b/>
        </w:rPr>
        <w:t>Author:</w:t>
      </w:r>
      <w:r>
        <w:t>Nino Abashidze, Robert L. Clark, Lee A. Craig</w:t>
      </w:r>
    </w:p>
    <w:p>
      <w:pPr>
        <w:ind w:firstLine="240"/>
        <w:jc w:val="both"/>
      </w:pPr>
      <w: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r>
    </w:p>
    <w:p/>
    <w:p>
      <w:pPr>
        <w:jc w:val="left"/>
      </w:pPr>
      <w:r>
        <w:rPr>
          <w:b/>
        </w:rPr>
        <w:t>Url:</w:t>
        <w:br/>
      </w:r>
      <w:hyperlink r:id="rId9">
        <w:r>
          <w:rPr>
            <w:color w:val="0000FF"/>
            <w:u w:val="single"/>
          </w:rPr>
          <w:t>https://www.nber.org/papers/w30472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